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erschrift2"/>
        <w:numPr>
          <w:ilvl w:val="1"/>
          <w:numId w:val="1"/>
        </w:numPr>
        <w:spacing w:before="240" w:after="120"/>
        <w:jc w:val="both"/>
        <w:rPr>
          <w:rFonts w:ascii="Liberation Serif" w:hAnsi="Liberation Serif"/>
          <w:sz w:val="32"/>
          <w:szCs w:val="32"/>
        </w:rPr>
      </w:pPr>
      <w:r>
        <w:rPr>
          <w:rFonts w:ascii="Liberation Serif" w:hAnsi="Liberation Serif"/>
          <w:sz w:val="32"/>
          <w:szCs w:val="32"/>
        </w:rPr>
        <w:t xml:space="preserve">1.4.2 Reden – Horst </w:t>
      </w:r>
      <w:r>
        <w:rPr>
          <w:rFonts w:ascii="Liberation Serif" w:hAnsi="Liberation Serif"/>
          <w:b/>
          <w:bCs/>
          <w:i w:val="false"/>
          <w:iCs w:val="false"/>
          <w:sz w:val="32"/>
          <w:szCs w:val="32"/>
        </w:rPr>
        <w:t>Köhler: Bildung für alle (2006)</w:t>
      </w:r>
    </w:p>
    <w:tbl>
      <w:tblPr>
        <w:tblW w:w="99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bidi w:val="0"/>
              <w:jc w:val="both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  <w:highlight w:val="white"/>
              </w:rPr>
              <w:t xml:space="preserve">Der Text ist kostenlos </w:t>
            </w: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  <w:highlight w:val="white"/>
              </w:rPr>
              <w:t xml:space="preserve">abrufbar unter: </w:t>
            </w:r>
          </w:p>
          <w:p>
            <w:pPr>
              <w:pStyle w:val="Normal"/>
              <w:bidi w:val="0"/>
              <w:jc w:val="both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4"/>
                <w:szCs w:val="24"/>
                <w:highlight w:val="white"/>
              </w:rPr>
            </w:pPr>
            <w:hyperlink r:id="rId2">
              <w:r>
                <w:rPr>
                  <w:rStyle w:val="Internetlink"/>
                  <w:b w:val="false"/>
                  <w:bCs w:val="false"/>
                  <w:i w:val="false"/>
                  <w:iCs w:val="false"/>
                  <w:sz w:val="24"/>
                  <w:szCs w:val="24"/>
                  <w:highlight w:val="white"/>
                </w:rPr>
                <w:t>http://www.bundespraesident.de/SharedDocs/Reden/DE/Horst-Koehler/Reden/2006/09/20060921_Rede.html</w:t>
              </w:r>
            </w:hyperlink>
            <w:r>
              <w:rPr>
                <w:b w:val="false"/>
                <w:bCs w:val="false"/>
                <w:i w:val="false"/>
                <w:iCs w:val="false"/>
                <w:color w:val="000000"/>
                <w:sz w:val="20"/>
                <w:szCs w:val="20"/>
                <w:highlight w:val="white"/>
              </w:rPr>
              <w:t xml:space="preserve"> (letzter Zugriff am 12.1.2018)</w:t>
            </w:r>
          </w:p>
        </w:tc>
      </w:tr>
    </w:tbl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  <w:highlight w:val="white"/>
        </w:rPr>
      </w:pPr>
      <w:r>
        <w:rPr>
          <w:b w:val="false"/>
          <w:bCs w:val="false"/>
          <w:i w:val="false"/>
          <w:iCs w:val="false"/>
          <w:sz w:val="24"/>
          <w:szCs w:val="24"/>
          <w:highlight w:val="white"/>
        </w:rPr>
      </w:r>
    </w:p>
    <w:p>
      <w:pPr>
        <w:pStyle w:val="Normal"/>
        <w:numPr>
          <w:ilvl w:val="0"/>
          <w:numId w:val="2"/>
        </w:numPr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Markiere </w:t>
      </w:r>
      <w:r>
        <w:rPr>
          <w:b w:val="false"/>
          <w:bCs w:val="false"/>
          <w:i w:val="false"/>
          <w:iCs w:val="false"/>
          <w:sz w:val="24"/>
          <w:szCs w:val="24"/>
        </w:rPr>
        <w:t>am Rand</w:t>
      </w:r>
      <w:r>
        <w:rPr>
          <w:b w:val="false"/>
          <w:bCs w:val="false"/>
          <w:i w:val="false"/>
          <w:iCs w:val="false"/>
          <w:sz w:val="24"/>
          <w:szCs w:val="24"/>
        </w:rPr>
        <w:t>, an welchen Stellen die Darstellungs-, an welchen die Appellfunktion der Sprache (K. Bühler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) </w:t>
      </w:r>
      <w:r>
        <w:rPr>
          <w:b w:val="false"/>
          <w:bCs w:val="false"/>
          <w:i w:val="false"/>
          <w:iCs w:val="false"/>
          <w:sz w:val="24"/>
          <w:szCs w:val="24"/>
        </w:rPr>
        <w:t>bzw. Appell</w:t>
      </w:r>
      <w:r>
        <w:rPr>
          <w:b w:val="false"/>
          <w:bCs w:val="false"/>
          <w:i w:val="false"/>
          <w:iCs w:val="false"/>
          <w:sz w:val="24"/>
          <w:szCs w:val="24"/>
        </w:rPr>
        <w:t>seite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, Sachebene (F. Schulz von Thun)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überwiegt. An welchen Stellen tritt die Ausdrucksfunktion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(Selbstkundgabe)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in den Vordergrund (wenngleich sie nicht allein seine Botschaft prägt)? </w:t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2"/>
        </w:numPr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Untersuche, mit welchen sprachliche</w:t>
      </w:r>
      <w:r>
        <w:rPr>
          <w:b w:val="false"/>
          <w:bCs w:val="false"/>
          <w:i w:val="false"/>
          <w:iCs w:val="false"/>
          <w:sz w:val="24"/>
          <w:szCs w:val="24"/>
        </w:rPr>
        <w:t>n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Mitteln Köhler die Appellseite seiner Botschaft unterstützt.</w:t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2"/>
        </w:numPr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Was signalisiert Horst Köhler der Zuhörerschaft durch seine Rede auf der Beziehungsebene seiner sprachlichen Botschaft (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F.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Schulz von Thun)? Durch welche sprachlichen Mittel gelingt dies?</w:t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2"/>
        </w:numPr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Für welche der Passagen des Textes treffen folgende Illokutionen zu?* Mache Zeilenangaben!</w:t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ind w:left="709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eastAsia="Liberation Serif" w:cs="Liberation Serif"/>
          <w:b w:val="false"/>
          <w:bCs w:val="false"/>
          <w:i w:val="false"/>
          <w:iCs w:val="false"/>
          <w:sz w:val="24"/>
          <w:szCs w:val="24"/>
        </w:rPr>
        <w:t xml:space="preserve">□ </w:t>
      </w:r>
      <w:r>
        <w:rPr>
          <w:b w:val="false"/>
          <w:bCs w:val="false"/>
          <w:i w:val="false"/>
          <w:iCs w:val="false"/>
          <w:sz w:val="24"/>
          <w:szCs w:val="24"/>
        </w:rPr>
        <w:t>appellieren, (</w:t>
      </w:r>
      <w:r>
        <w:rPr>
          <w:b w:val="false"/>
          <w:bCs w:val="false"/>
          <w:i w:val="false"/>
          <w:iCs w:val="false"/>
          <w:sz w:val="24"/>
          <w:szCs w:val="24"/>
        </w:rPr>
        <w:t>auf</w:t>
      </w:r>
      <w:r>
        <w:rPr>
          <w:b w:val="false"/>
          <w:bCs w:val="false"/>
          <w:i w:val="false"/>
          <w:iCs w:val="false"/>
          <w:sz w:val="24"/>
          <w:szCs w:val="24"/>
        </w:rPr>
        <w:t>)</w:t>
      </w:r>
      <w:r>
        <w:rPr>
          <w:b w:val="false"/>
          <w:bCs w:val="false"/>
          <w:i w:val="false"/>
          <w:iCs w:val="false"/>
          <w:sz w:val="24"/>
          <w:szCs w:val="24"/>
        </w:rPr>
        <w:t>fordern</w:t>
        <w:tab/>
        <w:tab/>
        <w:tab/>
      </w:r>
      <w:r>
        <w:rPr>
          <w:rFonts w:eastAsia="Liberation Serif" w:cs="Liberation Serif"/>
          <w:b w:val="false"/>
          <w:bCs w:val="false"/>
          <w:i w:val="false"/>
          <w:iCs w:val="false"/>
          <w:sz w:val="24"/>
          <w:szCs w:val="24"/>
        </w:rPr>
        <w:t xml:space="preserve">□ </w:t>
      </w:r>
      <w:r>
        <w:rPr>
          <w:b w:val="false"/>
          <w:bCs w:val="false"/>
          <w:i w:val="false"/>
          <w:iCs w:val="false"/>
          <w:sz w:val="24"/>
          <w:szCs w:val="24"/>
        </w:rPr>
        <w:t>aufmerksam machen / hinweisen</w:t>
      </w:r>
    </w:p>
    <w:p>
      <w:pPr>
        <w:pStyle w:val="Normal"/>
        <w:ind w:left="709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eastAsia="Liberation Serif" w:cs="Liberation Serif"/>
          <w:b w:val="false"/>
          <w:bCs w:val="false"/>
          <w:i w:val="false"/>
          <w:iCs w:val="false"/>
          <w:sz w:val="24"/>
          <w:szCs w:val="24"/>
        </w:rPr>
        <w:t xml:space="preserve">□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begründen / </w:t>
      </w:r>
      <w:r>
        <w:rPr>
          <w:b w:val="false"/>
          <w:bCs w:val="false"/>
          <w:i w:val="false"/>
          <w:iCs w:val="false"/>
          <w:sz w:val="24"/>
          <w:szCs w:val="24"/>
        </w:rPr>
        <w:t>für etwas argumentieren</w:t>
        <w:tab/>
      </w:r>
      <w:r>
        <w:rPr>
          <w:rFonts w:eastAsia="Liberation Serif" w:cs="Liberation Serif"/>
          <w:b w:val="false"/>
          <w:bCs w:val="false"/>
          <w:i w:val="false"/>
          <w:iCs w:val="false"/>
          <w:sz w:val="24"/>
          <w:szCs w:val="24"/>
        </w:rPr>
        <w:t xml:space="preserve">□ </w:t>
      </w:r>
      <w:r>
        <w:rPr>
          <w:b w:val="false"/>
          <w:bCs w:val="false"/>
          <w:i w:val="false"/>
          <w:iCs w:val="false"/>
          <w:sz w:val="24"/>
          <w:szCs w:val="24"/>
        </w:rPr>
        <w:t>behaupten / eine These aufstellen</w:t>
      </w:r>
    </w:p>
    <w:p>
      <w:pPr>
        <w:pStyle w:val="Normal"/>
        <w:ind w:left="709" w:right="0" w:hanging="0"/>
        <w:jc w:val="both"/>
        <w:rPr/>
      </w:pPr>
      <w:r>
        <w:rPr>
          <w:rFonts w:eastAsia="Liberation Serif" w:cs="Liberation Serif"/>
          <w:b w:val="false"/>
          <w:bCs w:val="false"/>
          <w:i w:val="false"/>
          <w:iCs w:val="false"/>
          <w:sz w:val="24"/>
          <w:szCs w:val="24"/>
        </w:rPr>
        <w:t xml:space="preserve">□ </w:t>
      </w:r>
      <w:r>
        <w:rPr>
          <w:b w:val="false"/>
          <w:bCs w:val="false"/>
          <w:i w:val="false"/>
          <w:iCs w:val="false"/>
          <w:sz w:val="24"/>
          <w:szCs w:val="24"/>
        </w:rPr>
        <w:t>einleiten / überleiten / abschließen</w:t>
        <w:tab/>
        <w:tab/>
      </w:r>
      <w:r>
        <w:rPr>
          <w:rFonts w:eastAsia="Liberation Serif" w:cs="Liberation Serif"/>
          <w:b w:val="false"/>
          <w:bCs w:val="false"/>
          <w:i w:val="false"/>
          <w:iCs w:val="false"/>
          <w:sz w:val="24"/>
          <w:szCs w:val="24"/>
        </w:rPr>
        <w:t xml:space="preserve">□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gegenüberstellen </w:t>
      </w:r>
    </w:p>
    <w:p>
      <w:pPr>
        <w:pStyle w:val="Normal"/>
        <w:ind w:left="709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eastAsia="Liberation Serif" w:cs="Liberation Serif"/>
          <w:b w:val="false"/>
          <w:bCs w:val="false"/>
          <w:i w:val="false"/>
          <w:iCs w:val="false"/>
          <w:sz w:val="24"/>
          <w:szCs w:val="24"/>
        </w:rPr>
        <w:t xml:space="preserve">□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problematisieren / kritisieren </w:t>
        <w:tab/>
        <w:tab/>
      </w:r>
      <w:r>
        <w:rPr>
          <w:rFonts w:eastAsia="Liberation Serif" w:cs="Liberation Serif"/>
          <w:b w:val="false"/>
          <w:bCs w:val="false"/>
          <w:i w:val="false"/>
          <w:iCs w:val="false"/>
          <w:sz w:val="24"/>
          <w:szCs w:val="24"/>
        </w:rPr>
        <w:t xml:space="preserve">□ </w:t>
      </w:r>
      <w:r>
        <w:rPr>
          <w:b w:val="false"/>
          <w:bCs w:val="false"/>
          <w:i w:val="false"/>
          <w:iCs w:val="false"/>
          <w:sz w:val="24"/>
          <w:szCs w:val="24"/>
        </w:rPr>
        <w:t>seine Sorge / seinen Ärger usw. ausdrücken</w:t>
      </w:r>
    </w:p>
    <w:p>
      <w:pPr>
        <w:pStyle w:val="Normal"/>
        <w:ind w:left="709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eastAsia="Liberation Serif" w:cs="Liberation Serif"/>
          <w:b w:val="false"/>
          <w:bCs w:val="false"/>
          <w:i w:val="false"/>
          <w:iCs w:val="false"/>
          <w:sz w:val="24"/>
          <w:szCs w:val="24"/>
        </w:rPr>
        <w:t xml:space="preserve">□ </w:t>
      </w:r>
      <w:r>
        <w:rPr>
          <w:b w:val="false"/>
          <w:bCs w:val="false"/>
          <w:i w:val="false"/>
          <w:iCs w:val="false"/>
          <w:sz w:val="24"/>
          <w:szCs w:val="24"/>
        </w:rPr>
        <w:t>versprechen</w:t>
        <w:tab/>
        <w:tab/>
        <w:tab/>
        <w:tab/>
        <w:tab/>
      </w:r>
      <w:r>
        <w:rPr>
          <w:rFonts w:eastAsia="Liberation Serif" w:cs="Liberation Serif"/>
          <w:b w:val="false"/>
          <w:bCs w:val="false"/>
          <w:i w:val="false"/>
          <w:iCs w:val="false"/>
          <w:sz w:val="24"/>
          <w:szCs w:val="24"/>
        </w:rPr>
        <w:t xml:space="preserve">□ </w:t>
      </w:r>
      <w:r>
        <w:rPr>
          <w:b w:val="false"/>
          <w:bCs w:val="false"/>
          <w:i w:val="false"/>
          <w:iCs w:val="false"/>
          <w:sz w:val="24"/>
          <w:szCs w:val="24"/>
        </w:rPr>
        <w:t>zurückführen auf / als Grund angeben</w:t>
      </w:r>
    </w:p>
    <w:p>
      <w:pPr>
        <w:pStyle w:val="Normal"/>
        <w:ind w:left="709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ind w:left="709" w:right="0" w:hanging="0"/>
        <w:jc w:val="both"/>
        <w:rPr/>
      </w:pPr>
      <w:r>
        <w:rPr>
          <w:b w:val="false"/>
          <w:bCs w:val="false"/>
          <w:i w:val="false"/>
          <w:iCs w:val="false"/>
          <w:sz w:val="20"/>
          <w:szCs w:val="20"/>
        </w:rPr>
        <w:t xml:space="preserve">* Du kannst auch weitere Verben verwenden, die hier nicht aufgeführt sind </w:t>
      </w:r>
      <w:r>
        <w:rPr>
          <w:b w:val="false"/>
          <w:bCs w:val="false"/>
          <w:i w:val="false"/>
          <w:iCs w:val="false"/>
          <w:sz w:val="20"/>
          <w:szCs w:val="20"/>
        </w:rPr>
        <w:t>(siehe auch „Liste wichtiger Illokutionsverben ...“)</w:t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b w:val="false"/>
          <w:bCs w:val="false"/>
          <w:i w:val="false"/>
          <w:iCs w:val="false"/>
          <w:sz w:val="20"/>
          <w:szCs w:val="20"/>
        </w:rPr>
      </w:r>
    </w:p>
    <w:p>
      <w:pPr>
        <w:pStyle w:val="Normal"/>
        <w:numPr>
          <w:ilvl w:val="0"/>
          <w:numId w:val="2"/>
        </w:numPr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Verfasse nun ein Resümee der Rede, in dem du die gefundenen Illokutionsverben einsetzt und jeweils </w:t>
      </w:r>
      <w:r>
        <w:rPr>
          <w:b w:val="false"/>
          <w:bCs w:val="false"/>
          <w:i w:val="false"/>
          <w:iCs w:val="false"/>
          <w:sz w:val="24"/>
          <w:szCs w:val="24"/>
        </w:rPr>
        <w:t>mit eigenen Worten i</w:t>
      </w:r>
      <w:r>
        <w:rPr>
          <w:b w:val="false"/>
          <w:bCs w:val="false"/>
          <w:i w:val="false"/>
          <w:iCs w:val="false"/>
          <w:sz w:val="24"/>
          <w:szCs w:val="24"/>
        </w:rPr>
        <w:t>hren Inhalt (</w:t>
      </w:r>
      <w:r>
        <w:rPr>
          <w:b w:val="false"/>
          <w:bCs w:val="false"/>
          <w:i w:val="false"/>
          <w:iCs w:val="false"/>
          <w:sz w:val="24"/>
          <w:szCs w:val="24"/>
          <w:u w:val="single"/>
        </w:rPr>
        <w:t>wozu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aufgefordert wird, </w:t>
      </w:r>
      <w:r>
        <w:rPr>
          <w:b w:val="false"/>
          <w:bCs w:val="false"/>
          <w:i w:val="false"/>
          <w:iCs w:val="false"/>
          <w:sz w:val="24"/>
          <w:szCs w:val="24"/>
          <w:u w:val="single"/>
        </w:rPr>
        <w:t>was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versprochen wird usw.) ergänzt. (Man nennt diesen Inhalt nach J. Searle auch „propositionalen Gehalt“.)</w:t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2"/>
        </w:numPr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Ein Fall von Perlokution: Zur beabsichtigten Wirkung der Rede </w:t>
      </w:r>
    </w:p>
    <w:p>
      <w:pPr>
        <w:pStyle w:val="Normal"/>
        <w:numPr>
          <w:ilvl w:val="0"/>
          <w:numId w:val="0"/>
        </w:numPr>
        <w:ind w:left="72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ind w:left="709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0"/>
          <w:szCs w:val="20"/>
        </w:rPr>
        <w:t xml:space="preserve">Folgende Verben bezeichnen das tatsächliche </w:t>
      </w:r>
      <w:r>
        <w:rPr>
          <w:b w:val="false"/>
          <w:bCs w:val="false"/>
          <w:i/>
          <w:iCs/>
          <w:sz w:val="20"/>
          <w:szCs w:val="20"/>
        </w:rPr>
        <w:t xml:space="preserve">Ergebnis </w:t>
      </w:r>
      <w:r>
        <w:rPr>
          <w:b w:val="false"/>
          <w:bCs w:val="false"/>
          <w:i w:val="false"/>
          <w:iCs w:val="false"/>
          <w:sz w:val="20"/>
          <w:szCs w:val="20"/>
        </w:rPr>
        <w:t>bzw. die tatsächliche</w:t>
      </w:r>
      <w:r>
        <w:rPr>
          <w:b w:val="false"/>
          <w:bCs w:val="false"/>
          <w:i/>
          <w:iCs/>
          <w:sz w:val="20"/>
          <w:szCs w:val="20"/>
        </w:rPr>
        <w:t xml:space="preserve"> Wirkung </w:t>
      </w:r>
      <w:r>
        <w:rPr>
          <w:b w:val="false"/>
          <w:bCs w:val="false"/>
          <w:i/>
          <w:iCs/>
          <w:sz w:val="20"/>
          <w:szCs w:val="20"/>
        </w:rPr>
        <w:t>von</w:t>
      </w:r>
      <w:r>
        <w:rPr>
          <w:b w:val="false"/>
          <w:bCs w:val="false"/>
          <w:i w:val="false"/>
          <w:iCs w:val="false"/>
          <w:sz w:val="20"/>
          <w:szCs w:val="20"/>
        </w:rPr>
        <w:t xml:space="preserve"> Sprechakten </w:t>
      </w:r>
      <w:r>
        <w:rPr>
          <w:b w:val="false"/>
          <w:bCs w:val="false"/>
          <w:i w:val="false"/>
          <w:iCs w:val="false"/>
          <w:sz w:val="20"/>
          <w:szCs w:val="20"/>
        </w:rPr>
        <w:t>(„Perlokutionen“ nach J. L. Austin)</w:t>
      </w:r>
      <w:r>
        <w:rPr>
          <w:b w:val="false"/>
          <w:bCs w:val="false"/>
          <w:i w:val="false"/>
          <w:iCs w:val="false"/>
          <w:sz w:val="20"/>
          <w:szCs w:val="20"/>
        </w:rPr>
        <w:t xml:space="preserve">. Man kann daher, wenn man </w:t>
      </w:r>
      <w:r>
        <w:rPr>
          <w:b w:val="false"/>
          <w:bCs w:val="false"/>
          <w:i w:val="false"/>
          <w:iCs w:val="false"/>
          <w:sz w:val="20"/>
          <w:szCs w:val="20"/>
        </w:rPr>
        <w:t xml:space="preserve">bei der Rede </w:t>
      </w:r>
      <w:r>
        <w:rPr>
          <w:b w:val="false"/>
          <w:bCs w:val="false"/>
          <w:i w:val="false"/>
          <w:iCs w:val="false"/>
          <w:sz w:val="20"/>
          <w:szCs w:val="20"/>
        </w:rPr>
        <w:t xml:space="preserve">nicht dabei war, nicht wissen, wie weit diese Verben die Wirkung bei Köhlers Rede </w:t>
      </w:r>
      <w:r>
        <w:rPr>
          <w:b w:val="false"/>
          <w:bCs w:val="false"/>
          <w:i w:val="false"/>
          <w:iCs w:val="false"/>
          <w:sz w:val="20"/>
          <w:szCs w:val="20"/>
        </w:rPr>
        <w:t xml:space="preserve">(und das bei allen Zuhörern!) </w:t>
      </w:r>
      <w:r>
        <w:rPr>
          <w:b w:val="false"/>
          <w:bCs w:val="false"/>
          <w:i w:val="false"/>
          <w:iCs w:val="false"/>
          <w:sz w:val="20"/>
          <w:szCs w:val="20"/>
        </w:rPr>
        <w:t xml:space="preserve">wirklich beschreiben. Wohl aber kann </w:t>
      </w:r>
      <w:r>
        <w:rPr>
          <w:b w:val="false"/>
          <w:bCs w:val="false"/>
          <w:i w:val="false"/>
          <w:iCs w:val="false"/>
          <w:sz w:val="20"/>
          <w:szCs w:val="20"/>
        </w:rPr>
        <w:t xml:space="preserve">man </w:t>
      </w:r>
      <w:r>
        <w:rPr>
          <w:b w:val="false"/>
          <w:bCs w:val="false"/>
          <w:i w:val="false"/>
          <w:iCs w:val="false"/>
          <w:sz w:val="20"/>
          <w:szCs w:val="20"/>
        </w:rPr>
        <w:t xml:space="preserve">Köhler unterstellen – d.h. seine Rede so interpretieren –, dass er die genannten Wirkungen erzielen </w:t>
      </w:r>
      <w:r>
        <w:rPr>
          <w:b w:val="false"/>
          <w:bCs w:val="false"/>
          <w:i/>
          <w:iCs/>
          <w:sz w:val="20"/>
          <w:szCs w:val="20"/>
        </w:rPr>
        <w:t>w</w:t>
      </w:r>
      <w:r>
        <w:rPr>
          <w:b w:val="false"/>
          <w:bCs w:val="false"/>
          <w:i/>
          <w:iCs/>
          <w:sz w:val="20"/>
          <w:szCs w:val="20"/>
        </w:rPr>
        <w:t>o</w:t>
      </w:r>
      <w:r>
        <w:rPr>
          <w:b w:val="false"/>
          <w:bCs w:val="false"/>
          <w:i/>
          <w:iCs/>
          <w:sz w:val="20"/>
          <w:szCs w:val="20"/>
        </w:rPr>
        <w:t>ll</w:t>
      </w:r>
      <w:r>
        <w:rPr>
          <w:b w:val="false"/>
          <w:bCs w:val="false"/>
          <w:i/>
          <w:iCs/>
          <w:sz w:val="20"/>
          <w:szCs w:val="20"/>
        </w:rPr>
        <w:t>te</w:t>
      </w:r>
      <w:r>
        <w:rPr>
          <w:b w:val="false"/>
          <w:bCs w:val="false"/>
          <w:i w:val="false"/>
          <w:iCs w:val="false"/>
          <w:sz w:val="20"/>
          <w:szCs w:val="20"/>
        </w:rPr>
        <w:t>.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</w:t>
      </w:r>
    </w:p>
    <w:p>
      <w:pPr>
        <w:pStyle w:val="Normal"/>
        <w:ind w:left="709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ind w:left="709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Welche der folgenden Perlokutionen sind wahrscheinlich beabsichtigt? </w:t>
      </w:r>
      <w:r>
        <w:rPr>
          <w:b w:val="false"/>
          <w:bCs w:val="false"/>
          <w:i w:val="false"/>
          <w:iCs w:val="false"/>
          <w:sz w:val="24"/>
          <w:szCs w:val="24"/>
        </w:rPr>
        <w:t>Du kannst weitere ergänzen. Führe Stellenbelege an.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ind w:left="709" w:right="0" w:hanging="0"/>
        <w:jc w:val="both"/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  <w:t>Z.B.: Mit seiner Aufzählung ...</w:t>
      </w:r>
      <w:r>
        <w:rPr>
          <w:b w:val="false"/>
          <w:bCs w:val="false"/>
          <w:i/>
          <w:iCs/>
          <w:sz w:val="24"/>
          <w:szCs w:val="24"/>
        </w:rPr>
        <w:t xml:space="preserve"> will er… / Dadurch, dass Köhler …, möchte er:  </w:t>
      </w:r>
    </w:p>
    <w:p>
      <w:pPr>
        <w:pStyle w:val="Normal"/>
        <w:ind w:left="709" w:right="0" w:hanging="0"/>
        <w:jc w:val="both"/>
        <w:rPr>
          <w:rFonts w:ascii="Liberation Serif" w:hAnsi="Liberation Serif"/>
          <w:b w:val="false"/>
          <w:b w:val="false"/>
          <w:bCs w:val="false"/>
          <w:sz w:val="24"/>
          <w:szCs w:val="24"/>
        </w:rPr>
      </w:pPr>
      <w:r>
        <w:rPr>
          <w:rFonts w:eastAsia="Liberation Serif" w:cs="Liberation Serif"/>
          <w:b w:val="false"/>
          <w:bCs w:val="false"/>
          <w:i w:val="false"/>
          <w:iCs w:val="false"/>
          <w:sz w:val="24"/>
          <w:szCs w:val="24"/>
        </w:rPr>
        <w:t xml:space="preserve">□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aufrütteln / alarmieren / </w:t>
      </w:r>
      <w:r>
        <w:rPr>
          <w:b w:val="false"/>
          <w:bCs w:val="false"/>
          <w:i w:val="false"/>
          <w:iCs w:val="false"/>
          <w:sz w:val="24"/>
          <w:szCs w:val="24"/>
        </w:rPr>
        <w:t>Problem</w:t>
      </w:r>
      <w:r>
        <w:rPr>
          <w:b w:val="false"/>
          <w:bCs w:val="false"/>
          <w:i w:val="false"/>
          <w:iCs w:val="false"/>
          <w:sz w:val="24"/>
          <w:szCs w:val="24"/>
        </w:rPr>
        <w:t>bewusstsein wecken</w:t>
        <w:tab/>
        <w:tab/>
      </w:r>
      <w:r>
        <w:rPr>
          <w:rFonts w:eastAsia="Liberation Serif" w:cs="Liberation Serif"/>
          <w:b w:val="false"/>
          <w:bCs w:val="false"/>
          <w:i w:val="false"/>
          <w:iCs w:val="false"/>
          <w:sz w:val="24"/>
          <w:szCs w:val="24"/>
        </w:rPr>
        <w:t xml:space="preserve">□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Mut machen </w:t>
      </w:r>
    </w:p>
    <w:p>
      <w:pPr>
        <w:pStyle w:val="Normal"/>
        <w:ind w:left="709" w:right="0" w:hanging="0"/>
        <w:jc w:val="both"/>
        <w:rPr>
          <w:rFonts w:ascii="Liberation Serif" w:hAnsi="Liberation Serif"/>
          <w:b w:val="false"/>
          <w:b w:val="false"/>
          <w:bCs w:val="false"/>
          <w:sz w:val="24"/>
          <w:szCs w:val="24"/>
        </w:rPr>
      </w:pPr>
      <w:r>
        <w:rPr>
          <w:rFonts w:eastAsia="Liberation Serif" w:cs="Liberation Serif"/>
          <w:b w:val="false"/>
          <w:bCs w:val="false"/>
          <w:i w:val="false"/>
          <w:iCs w:val="false"/>
          <w:sz w:val="24"/>
          <w:szCs w:val="24"/>
        </w:rPr>
        <w:t xml:space="preserve">□ </w:t>
      </w:r>
      <w:r>
        <w:rPr>
          <w:b w:val="false"/>
          <w:bCs w:val="false"/>
          <w:i w:val="false"/>
          <w:iCs w:val="false"/>
          <w:sz w:val="24"/>
          <w:szCs w:val="24"/>
        </w:rPr>
        <w:t>das Bewusstsein gemeinsamer Werte und Verantwortung wecken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iCs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false"/>
        <w:i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false"/>
        <w:i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false"/>
        <w:i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false"/>
        <w:i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false"/>
        <w:i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false"/>
        <w:i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false"/>
        <w:i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false"/>
        <w:iCs w:val="fals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de-DE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ans CJK SC Regular" w:cs="FreeSans"/>
      <w:color w:val="auto"/>
      <w:sz w:val="24"/>
      <w:szCs w:val="24"/>
      <w:lang w:val="de-DE" w:eastAsia="zh-CN" w:bidi="hi-IN"/>
    </w:rPr>
  </w:style>
  <w:style w:type="paragraph" w:styleId="Berschrift2">
    <w:name w:val="Heading 2"/>
    <w:basedOn w:val="Berschrift"/>
    <w:next w:val="Textkrper"/>
    <w:qFormat/>
    <w:pPr>
      <w:numPr>
        <w:ilvl w:val="1"/>
        <w:numId w:val="1"/>
      </w:numPr>
      <w:bidi w:val="0"/>
      <w:outlineLvl w:val="1"/>
      <w:outlineLvl w:val="1"/>
    </w:pPr>
    <w:rPr>
      <w:b/>
      <w:bCs/>
      <w:i w:val="false"/>
      <w:iCs/>
      <w:sz w:val="32"/>
      <w:szCs w:val="28"/>
    </w:rPr>
  </w:style>
  <w:style w:type="character" w:styleId="Internetlink">
    <w:name w:val="Internetlink"/>
    <w:rPr>
      <w:color w:val="000080"/>
      <w:u w:val="single"/>
      <w:lang w:val="zxx" w:eastAsia="zxx" w:bidi="zxx"/>
    </w:rPr>
  </w:style>
  <w:style w:type="character" w:styleId="BesuchterInternetlink">
    <w:name w:val="Besuchter Internetlink"/>
    <w:rPr>
      <w:color w:val="800000"/>
      <w:u w:val="single"/>
      <w:lang w:val="zxx" w:eastAsia="zxx" w:bidi="zxx"/>
    </w:rPr>
  </w:style>
  <w:style w:type="character" w:styleId="Nummerierungszeichen">
    <w:name w:val="Nummerierungszeichen"/>
    <w:qFormat/>
    <w:rPr>
      <w:i w:val="false"/>
      <w:iCs w:val="false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TabellenInhalt">
    <w:name w:val="Tabellen Inhalt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bundespraesident.de/SharedDocs/Reden/DE/Horst-Koehler/Reden/2006/09/20060921_Rede.html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LibreOffice/5.1.6.2$Linux_X86_64 LibreOffice_project/10m0$Build-2</Application>
  <Pages>1</Pages>
  <Words>339</Words>
  <Characters>2118</Characters>
  <CharactersWithSpaces>2452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2018-02-17T17:41:29Z</dcterms:created>
  <dc:creator/>
  <dc:description/>
  <dc:language>de-DE</dc:language>
  <cp:lastModifiedBy/>
  <dcterms:modified xsi:type="dcterms:W3CDTF">2018-02-18T08:12:35Z</dcterms:modified>
  <cp:revision>3</cp:revision>
  <dc:subject/>
  <dc:title/>
</cp:coreProperties>
</file>