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EE7" w:rsidRDefault="00791CA3"/>
    <w:p w:rsidR="008A49EA" w:rsidRDefault="008A49EA">
      <w:r>
        <w:t>Zur Einführung</w:t>
      </w:r>
    </w:p>
    <w:p w:rsidR="008A49EA" w:rsidRDefault="008A49EA"/>
    <w:p w:rsidR="008A49EA" w:rsidRDefault="008A49EA" w:rsidP="008A49EA">
      <w:pPr>
        <w:jc w:val="both"/>
        <w:rPr>
          <w:rFonts w:asciiTheme="majorHAnsi" w:hAnsiTheme="majorHAnsi" w:cstheme="majorHAnsi"/>
        </w:rPr>
      </w:pPr>
      <w:r>
        <w:rPr>
          <w:rFonts w:asciiTheme="majorHAnsi" w:hAnsiTheme="majorHAnsi" w:cstheme="majorHAnsi"/>
        </w:rPr>
        <w:t>Die „</w:t>
      </w:r>
      <w:r w:rsidRPr="000D4005">
        <w:rPr>
          <w:rFonts w:asciiTheme="majorHAnsi" w:hAnsiTheme="majorHAnsi" w:cstheme="majorHAnsi"/>
        </w:rPr>
        <w:t>Kinder- und Hausmärchen“ der Brüder Grimm</w:t>
      </w:r>
      <w:r>
        <w:rPr>
          <w:rFonts w:asciiTheme="majorHAnsi" w:hAnsiTheme="majorHAnsi" w:cstheme="majorHAnsi"/>
        </w:rPr>
        <w:t xml:space="preserve"> gelten</w:t>
      </w:r>
      <w:r w:rsidRPr="000D4005">
        <w:rPr>
          <w:rFonts w:asciiTheme="majorHAnsi" w:hAnsiTheme="majorHAnsi" w:cstheme="majorHAnsi"/>
        </w:rPr>
        <w:t xml:space="preserve"> </w:t>
      </w:r>
      <w:r w:rsidRPr="000D4005">
        <w:rPr>
          <w:rFonts w:asciiTheme="majorHAnsi" w:hAnsiTheme="majorHAnsi" w:cstheme="majorHAnsi"/>
          <w:bCs/>
        </w:rPr>
        <w:t xml:space="preserve">neben der Luther-Bibel </w:t>
      </w:r>
      <w:r>
        <w:rPr>
          <w:rFonts w:asciiTheme="majorHAnsi" w:hAnsiTheme="majorHAnsi" w:cstheme="majorHAnsi"/>
          <w:bCs/>
        </w:rPr>
        <w:t xml:space="preserve">als das </w:t>
      </w:r>
      <w:r w:rsidRPr="000D4005">
        <w:rPr>
          <w:rFonts w:asciiTheme="majorHAnsi" w:hAnsiTheme="majorHAnsi" w:cstheme="majorHAnsi"/>
          <w:bCs/>
        </w:rPr>
        <w:t>meistübersetzte Buch deutscher Sprache</w:t>
      </w:r>
      <w:r>
        <w:rPr>
          <w:rFonts w:asciiTheme="majorHAnsi" w:hAnsiTheme="majorHAnsi" w:cstheme="majorHAnsi"/>
        </w:rPr>
        <w:t>. Die Texte und ihre Inhalte sind einem großen Publikum bekannt und vielleicht der „</w:t>
      </w:r>
      <w:r w:rsidRPr="000D4005">
        <w:rPr>
          <w:rFonts w:asciiTheme="majorHAnsi" w:hAnsiTheme="majorHAnsi" w:cstheme="majorHAnsi"/>
          <w:bCs/>
        </w:rPr>
        <w:t xml:space="preserve">letzte Bezugspunkt </w:t>
      </w:r>
      <w:r w:rsidR="00791CA3">
        <w:rPr>
          <w:rFonts w:asciiTheme="majorHAnsi" w:hAnsiTheme="majorHAnsi" w:cstheme="majorHAnsi"/>
          <w:bCs/>
        </w:rPr>
        <w:t xml:space="preserve">zu </w:t>
      </w:r>
      <w:r w:rsidRPr="000D4005">
        <w:rPr>
          <w:rFonts w:asciiTheme="majorHAnsi" w:hAnsiTheme="majorHAnsi" w:cstheme="majorHAnsi"/>
          <w:bCs/>
        </w:rPr>
        <w:t>einer allgemeinen literarischen Bildung in Deutschland</w:t>
      </w:r>
      <w:r>
        <w:rPr>
          <w:rFonts w:asciiTheme="majorHAnsi" w:hAnsiTheme="majorHAnsi" w:cstheme="majorHAnsi"/>
          <w:bCs/>
        </w:rPr>
        <w:t>“</w:t>
      </w:r>
      <w:r w:rsidRPr="000D4005">
        <w:rPr>
          <w:rFonts w:asciiTheme="majorHAnsi" w:hAnsiTheme="majorHAnsi" w:cstheme="majorHAnsi"/>
        </w:rPr>
        <w:t xml:space="preserve"> (</w:t>
      </w:r>
      <w:r w:rsidRPr="00365498">
        <w:rPr>
          <w:rFonts w:asciiTheme="majorHAnsi" w:hAnsiTheme="majorHAnsi" w:cstheme="majorHAnsi"/>
          <w:i/>
        </w:rPr>
        <w:t>Lothar Blum</w:t>
      </w:r>
      <w:r w:rsidRPr="000D4005">
        <w:rPr>
          <w:rFonts w:asciiTheme="majorHAnsi" w:hAnsiTheme="majorHAnsi" w:cstheme="majorHAnsi"/>
        </w:rPr>
        <w:t>)</w:t>
      </w:r>
      <w:r>
        <w:rPr>
          <w:rFonts w:asciiTheme="majorHAnsi" w:hAnsiTheme="majorHAnsi" w:cstheme="majorHAnsi"/>
        </w:rPr>
        <w:t xml:space="preserve">. </w:t>
      </w:r>
    </w:p>
    <w:p w:rsidR="008A49EA" w:rsidRDefault="008A49EA" w:rsidP="008A49EA">
      <w:pPr>
        <w:jc w:val="both"/>
        <w:rPr>
          <w:rFonts w:asciiTheme="majorHAnsi" w:hAnsiTheme="majorHAnsi" w:cstheme="majorHAnsi"/>
        </w:rPr>
      </w:pPr>
      <w:r>
        <w:rPr>
          <w:rFonts w:asciiTheme="majorHAnsi" w:hAnsiTheme="majorHAnsi" w:cstheme="majorHAnsi"/>
        </w:rPr>
        <w:t>Zielgruppe der Märchen der Grimms waren auch – neben den Kindern – immer Erwachsene; die Brüder Grimm verstanden ihre Märchensammlung sowohl als Erziehungs- wie auch als Aufklärungsliteratur.</w:t>
      </w:r>
    </w:p>
    <w:p w:rsidR="008A49EA" w:rsidRDefault="008A49EA" w:rsidP="008A49EA">
      <w:pPr>
        <w:jc w:val="both"/>
        <w:rPr>
          <w:rFonts w:asciiTheme="majorHAnsi" w:hAnsiTheme="majorHAnsi" w:cstheme="majorHAnsi"/>
        </w:rPr>
      </w:pPr>
    </w:p>
    <w:p w:rsidR="008A49EA" w:rsidRDefault="008A49EA" w:rsidP="008A49EA">
      <w:pPr>
        <w:jc w:val="both"/>
        <w:rPr>
          <w:rFonts w:asciiTheme="majorHAnsi" w:hAnsiTheme="majorHAnsi" w:cstheme="majorHAnsi"/>
        </w:rPr>
      </w:pPr>
      <w:r>
        <w:rPr>
          <w:rFonts w:asciiTheme="majorHAnsi" w:hAnsiTheme="majorHAnsi" w:cstheme="majorHAnsi"/>
        </w:rPr>
        <w:t>Die meisten Schülerinnen und Schülern lernen die Märchen</w:t>
      </w:r>
      <w:r w:rsidR="00791CA3">
        <w:rPr>
          <w:rFonts w:asciiTheme="majorHAnsi" w:hAnsiTheme="majorHAnsi" w:cstheme="majorHAnsi"/>
        </w:rPr>
        <w:t xml:space="preserve"> </w:t>
      </w:r>
      <w:r>
        <w:rPr>
          <w:rFonts w:asciiTheme="majorHAnsi" w:hAnsiTheme="majorHAnsi" w:cstheme="majorHAnsi"/>
        </w:rPr>
        <w:t>in der Grundschule und vielleicht noch in der 5.Klasse der weiterführenden Schulen kennen. Danach werden diese Texte im Unterricht nicht mehr behandelt und geraten aus dem Blick.</w:t>
      </w:r>
    </w:p>
    <w:p w:rsidR="008A49EA" w:rsidRDefault="008A49EA" w:rsidP="008A49EA">
      <w:pPr>
        <w:jc w:val="both"/>
        <w:rPr>
          <w:rFonts w:asciiTheme="majorHAnsi" w:hAnsiTheme="majorHAnsi" w:cstheme="majorHAnsi"/>
        </w:rPr>
      </w:pPr>
      <w:r>
        <w:rPr>
          <w:rFonts w:asciiTheme="majorHAnsi" w:hAnsiTheme="majorHAnsi" w:cstheme="majorHAnsi"/>
        </w:rPr>
        <w:t xml:space="preserve">Idee dieser Unterrichtseinheit ist es, diese Märchentexte wieder in den Fokus des Unterrichtes der Oberstufe zu rücken und damit einen Blick als Zweitleser, der ja die Inhalte aus Kindertagen bereits kennt, nun mit einem erwachsenen und geschulten Blick erneut zu lesen und sie damit erneut zu deuten. </w:t>
      </w:r>
    </w:p>
    <w:p w:rsidR="008A49EA" w:rsidRDefault="008A49EA" w:rsidP="008A49EA">
      <w:pPr>
        <w:jc w:val="both"/>
        <w:rPr>
          <w:rFonts w:asciiTheme="majorHAnsi" w:hAnsiTheme="majorHAnsi" w:cstheme="majorHAnsi"/>
        </w:rPr>
      </w:pPr>
    </w:p>
    <w:p w:rsidR="008A49EA" w:rsidRDefault="008A49EA" w:rsidP="008A49EA">
      <w:pPr>
        <w:jc w:val="both"/>
        <w:rPr>
          <w:rFonts w:asciiTheme="majorHAnsi" w:hAnsiTheme="majorHAnsi" w:cstheme="majorHAnsi"/>
        </w:rPr>
      </w:pPr>
      <w:r>
        <w:rPr>
          <w:rFonts w:asciiTheme="majorHAnsi" w:hAnsiTheme="majorHAnsi" w:cstheme="majorHAnsi"/>
        </w:rPr>
        <w:t xml:space="preserve">Die Volksmärchen der Brüder Grimm dienen dabei im Unterricht auch als Sprungbrett für den literarischen und didaktischen Zugang </w:t>
      </w:r>
      <w:r w:rsidR="00791CA3">
        <w:rPr>
          <w:rFonts w:asciiTheme="majorHAnsi" w:hAnsiTheme="majorHAnsi" w:cstheme="majorHAnsi"/>
        </w:rPr>
        <w:t>zu</w:t>
      </w:r>
      <w:r>
        <w:rPr>
          <w:rFonts w:asciiTheme="majorHAnsi" w:hAnsiTheme="majorHAnsi" w:cstheme="majorHAnsi"/>
        </w:rPr>
        <w:t xml:space="preserve"> literarisch anspruchsvollere</w:t>
      </w:r>
      <w:r w:rsidR="00791CA3">
        <w:rPr>
          <w:rFonts w:asciiTheme="majorHAnsi" w:hAnsiTheme="majorHAnsi" w:cstheme="majorHAnsi"/>
        </w:rPr>
        <w:t>n</w:t>
      </w:r>
      <w:r>
        <w:rPr>
          <w:rFonts w:asciiTheme="majorHAnsi" w:hAnsiTheme="majorHAnsi" w:cstheme="majorHAnsi"/>
        </w:rPr>
        <w:t xml:space="preserve"> Texte</w:t>
      </w:r>
      <w:r w:rsidR="00791CA3">
        <w:rPr>
          <w:rFonts w:asciiTheme="majorHAnsi" w:hAnsiTheme="majorHAnsi" w:cstheme="majorHAnsi"/>
        </w:rPr>
        <w:t>n</w:t>
      </w:r>
      <w:r>
        <w:rPr>
          <w:rFonts w:asciiTheme="majorHAnsi" w:hAnsiTheme="majorHAnsi" w:cstheme="majorHAnsi"/>
        </w:rPr>
        <w:t xml:space="preserve"> und Gattungen.</w:t>
      </w:r>
    </w:p>
    <w:p w:rsidR="008A49EA" w:rsidRDefault="008A49EA" w:rsidP="008A49EA">
      <w:pPr>
        <w:jc w:val="both"/>
        <w:rPr>
          <w:rFonts w:asciiTheme="majorHAnsi" w:hAnsiTheme="majorHAnsi" w:cstheme="majorHAnsi"/>
        </w:rPr>
      </w:pPr>
    </w:p>
    <w:p w:rsidR="008A49EA" w:rsidRDefault="008A49EA" w:rsidP="008A49EA">
      <w:pPr>
        <w:jc w:val="both"/>
        <w:rPr>
          <w:rFonts w:asciiTheme="majorHAnsi" w:hAnsiTheme="majorHAnsi" w:cstheme="majorHAnsi"/>
        </w:rPr>
      </w:pPr>
      <w:r>
        <w:rPr>
          <w:rFonts w:asciiTheme="majorHAnsi" w:hAnsiTheme="majorHAnsi" w:cstheme="majorHAnsi"/>
        </w:rPr>
        <w:t>In dieser Unterrichtseinheit wurden vier Deutungsansätze/ interpretatori</w:t>
      </w:r>
      <w:bookmarkStart w:id="0" w:name="_GoBack"/>
      <w:bookmarkEnd w:id="0"/>
      <w:r>
        <w:rPr>
          <w:rFonts w:asciiTheme="majorHAnsi" w:hAnsiTheme="majorHAnsi" w:cstheme="majorHAnsi"/>
        </w:rPr>
        <w:t>sche Zugänge zu Grimms Märchen gewählt; die Trennlinien sind dabei mit Sicherheit nicht immer klar zu ziehen und es können auch weitere analytische Zugänge gefunden und gewählt werden.</w:t>
      </w:r>
    </w:p>
    <w:p w:rsidR="008A49EA" w:rsidRDefault="008A49EA" w:rsidP="008A49EA">
      <w:pPr>
        <w:jc w:val="both"/>
        <w:rPr>
          <w:rFonts w:asciiTheme="majorHAnsi" w:hAnsiTheme="majorHAnsi" w:cstheme="majorHAnsi"/>
        </w:rPr>
      </w:pPr>
    </w:p>
    <w:p w:rsidR="008A49EA" w:rsidRDefault="008A49EA" w:rsidP="008A49EA">
      <w:pPr>
        <w:jc w:val="both"/>
        <w:rPr>
          <w:rFonts w:asciiTheme="majorHAnsi" w:hAnsiTheme="majorHAnsi" w:cstheme="majorHAnsi"/>
        </w:rPr>
      </w:pPr>
    </w:p>
    <w:p w:rsidR="008A49EA" w:rsidRDefault="008A49EA"/>
    <w:p w:rsidR="008A49EA" w:rsidRDefault="008A49EA">
      <w:r w:rsidRPr="00134BC4">
        <w:rPr>
          <w:rFonts w:cstheme="majorHAnsi"/>
          <w:noProof/>
          <w:lang w:eastAsia="de-DE"/>
        </w:rPr>
        <w:drawing>
          <wp:inline distT="0" distB="0" distL="0" distR="0" wp14:anchorId="76CC3ABD" wp14:editId="13F666F7">
            <wp:extent cx="5756910" cy="2530475"/>
            <wp:effectExtent l="0" t="0" r="8890" b="9525"/>
            <wp:docPr id="70" name="Diagramm 70">
              <a:extLst xmlns:a="http://schemas.openxmlformats.org/drawingml/2006/main">
                <a:ext uri="{FF2B5EF4-FFF2-40B4-BE49-F238E27FC236}">
                  <a16:creationId xmlns:a16="http://schemas.microsoft.com/office/drawing/2014/main" id="{45F5A272-65C7-7941-8235-F087A2BAE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sectPr w:rsidR="008A49EA" w:rsidSect="003F199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EA"/>
    <w:rsid w:val="003F199D"/>
    <w:rsid w:val="0047318B"/>
    <w:rsid w:val="00791CA3"/>
    <w:rsid w:val="008A4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CC25169"/>
  <w14:defaultImageDpi w14:val="32767"/>
  <w15:chartTrackingRefBased/>
  <w15:docId w15:val="{FBEFE3F2-F51B-BD4F-9A42-765B7D0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A49E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128" b="1" i="0" u="none" strike="noStrike" kern="1200" cap="all" baseline="0">
                <a:solidFill>
                  <a:schemeClr val="tx1">
                    <a:lumMod val="65000"/>
                    <a:lumOff val="35000"/>
                  </a:schemeClr>
                </a:solidFill>
                <a:latin typeface="+mn-lt"/>
                <a:ea typeface="+mn-ea"/>
                <a:cs typeface="+mn-cs"/>
              </a:defRPr>
            </a:pPr>
            <a:r>
              <a:rPr lang="en-US" dirty="0" err="1"/>
              <a:t>Grimms</a:t>
            </a:r>
            <a:r>
              <a:rPr lang="en-US" baseline="0" dirty="0"/>
              <a:t> </a:t>
            </a:r>
            <a:r>
              <a:rPr lang="en-US" baseline="0" dirty="0" err="1"/>
              <a:t>Märchen - Zugänge</a:t>
            </a:r>
          </a:p>
        </c:rich>
      </c:tx>
      <c:layout>
        <c:manualLayout>
          <c:xMode val="edge"/>
          <c:yMode val="edge"/>
          <c:x val="0.23856704377869378"/>
          <c:y val="1.0037641154328732E-2"/>
        </c:manualLayout>
      </c:layout>
      <c:overlay val="0"/>
      <c:spPr>
        <a:noFill/>
        <a:ln>
          <a:noFill/>
        </a:ln>
        <a:effectLst/>
      </c:spPr>
      <c:txPr>
        <a:bodyPr rot="0" spcFirstLastPara="1" vertOverflow="ellipsis" vert="horz" wrap="square" anchor="ctr" anchorCtr="1"/>
        <a:lstStyle/>
        <a:p>
          <a:pPr>
            <a:defRPr sz="2128" b="1" i="0" u="none" strike="noStrike" kern="1200" cap="all"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Verkauf</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B33-474D-B8AF-B1215EEFD1A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B33-474D-B8AF-B1215EEFD1A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B33-474D-B8AF-B1215EEFD1A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B33-474D-B8AF-B1215EEFD1A8}"/>
              </c:ext>
            </c:extLst>
          </c:dPt>
          <c:dLbls>
            <c:dLbl>
              <c:idx val="0"/>
              <c:tx>
                <c:rich>
                  <a:bodyPr rot="0" spcFirstLastPara="1" vertOverflow="ellipsis" vert="horz" wrap="square" lIns="38100" tIns="19050" rIns="38100" bIns="19050" anchor="ctr" anchorCtr="1">
                    <a:spAutoFit/>
                  </a:bodyPr>
                  <a:lstStyle/>
                  <a:p>
                    <a:pPr>
                      <a:defRPr sz="1330" b="1" i="0" u="none" strike="noStrike" kern="1200" spc="0" baseline="0">
                        <a:solidFill>
                          <a:schemeClr val="accent1"/>
                        </a:solidFill>
                        <a:latin typeface="+mn-lt"/>
                        <a:ea typeface="+mn-ea"/>
                        <a:cs typeface="+mn-cs"/>
                      </a:defRPr>
                    </a:pPr>
                    <a:r>
                      <a:rPr lang="en-US" dirty="0" err="1"/>
                      <a:t>historisch</a:t>
                    </a:r>
                    <a:r>
                      <a:rPr lang="en-US" dirty="0"/>
                      <a:t>- </a:t>
                    </a:r>
                    <a:r>
                      <a:rPr lang="en-US" dirty="0" err="1"/>
                      <a:t>literaturwissen-schaftlich</a:t>
                    </a:r>
                    <a:r>
                      <a:rPr lang="en-US" baseline="0" dirty="0"/>
                      <a:t>   </a:t>
                    </a:r>
                    <a:endParaRPr lang="en-US" dirty="0"/>
                  </a:p>
                </c:rich>
              </c:tx>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accent1"/>
                      </a:solidFill>
                      <a:latin typeface="+mn-lt"/>
                      <a:ea typeface="+mn-ea"/>
                      <a:cs typeface="+mn-cs"/>
                    </a:defRPr>
                  </a:pPr>
                  <a:endParaRPr lang="de-DE"/>
                </a:p>
              </c:tx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B33-474D-B8AF-B1215EEFD1A8}"/>
                </c:ext>
              </c:extLst>
            </c:dLbl>
            <c:dLbl>
              <c:idx val="1"/>
              <c:tx>
                <c:rich>
                  <a:bodyPr rot="0" spcFirstLastPara="1" vertOverflow="ellipsis" vert="horz" wrap="square" lIns="38100" tIns="19050" rIns="38100" bIns="19050" anchor="ctr" anchorCtr="1">
                    <a:spAutoFit/>
                  </a:bodyPr>
                  <a:lstStyle/>
                  <a:p>
                    <a:pPr>
                      <a:defRPr sz="1330" b="1" i="0" u="none" strike="noStrike" kern="1200" spc="0" baseline="0">
                        <a:solidFill>
                          <a:schemeClr val="accent1"/>
                        </a:solidFill>
                        <a:latin typeface="+mn-lt"/>
                        <a:ea typeface="+mn-ea"/>
                        <a:cs typeface="+mn-cs"/>
                      </a:defRPr>
                    </a:pPr>
                    <a:r>
                      <a:rPr lang="en-US" dirty="0" err="1"/>
                      <a:t>sozialwissen-schaftlich</a:t>
                    </a:r>
                    <a:r>
                      <a:rPr lang="en-US" baseline="0" dirty="0"/>
                      <a:t> (Gender)
</a:t>
                    </a:r>
                    <a:endParaRPr lang="en-US" dirty="0"/>
                  </a:p>
                </c:rich>
              </c:tx>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accent1"/>
                      </a:solidFill>
                      <a:latin typeface="+mn-lt"/>
                      <a:ea typeface="+mn-ea"/>
                      <a:cs typeface="+mn-cs"/>
                    </a:defRPr>
                  </a:pPr>
                  <a:endParaRPr lang="de-DE"/>
                </a:p>
              </c:tx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B33-474D-B8AF-B1215EEFD1A8}"/>
                </c:ext>
              </c:extLst>
            </c:dLbl>
            <c:dLbl>
              <c:idx val="2"/>
              <c:layout>
                <c:manualLayout>
                  <c:x val="-1.45196212646054E-2"/>
                  <c:y val="-3.1534251312207801E-2"/>
                </c:manualLayout>
              </c:layout>
              <c:tx>
                <c:rich>
                  <a:bodyPr rot="0" spcFirstLastPara="1" vertOverflow="ellipsis" vert="horz" wrap="square" lIns="38100" tIns="19050" rIns="38100" bIns="19050" anchor="ctr" anchorCtr="1">
                    <a:noAutofit/>
                  </a:bodyPr>
                  <a:lstStyle/>
                  <a:p>
                    <a:pPr>
                      <a:defRPr sz="1330" b="1" i="0" u="none" strike="noStrike" kern="1200" spc="0" baseline="0">
                        <a:solidFill>
                          <a:schemeClr val="accent1"/>
                        </a:solidFill>
                        <a:latin typeface="+mn-lt"/>
                        <a:ea typeface="+mn-ea"/>
                        <a:cs typeface="+mn-cs"/>
                      </a:defRPr>
                    </a:pPr>
                    <a:r>
                      <a:rPr lang="en-US" dirty="0" err="1"/>
                      <a:t>erziehungswissen-schaftlich</a:t>
                    </a:r>
                    <a:endParaRPr lang="en-US" dirty="0"/>
                  </a:p>
                </c:rich>
              </c:tx>
              <c:spPr>
                <a:noFill/>
                <a:ln>
                  <a:noFill/>
                </a:ln>
                <a:effectLst/>
              </c:spPr>
              <c:txPr>
                <a:bodyPr rot="0" spcFirstLastPara="1" vertOverflow="ellipsis" vert="horz" wrap="square" lIns="38100" tIns="19050" rIns="38100" bIns="19050" anchor="ctr" anchorCtr="1">
                  <a:noAutofit/>
                </a:bodyPr>
                <a:lstStyle/>
                <a:p>
                  <a:pPr>
                    <a:defRPr sz="1330" b="1" i="0" u="none" strike="noStrike" kern="1200" spc="0" baseline="0">
                      <a:solidFill>
                        <a:schemeClr val="accent1"/>
                      </a:solidFill>
                      <a:latin typeface="+mn-lt"/>
                      <a:ea typeface="+mn-ea"/>
                      <a:cs typeface="+mn-cs"/>
                    </a:defRPr>
                  </a:pPr>
                  <a:endParaRPr lang="de-DE"/>
                </a:p>
              </c:txPr>
              <c:dLblPos val="bestFit"/>
              <c:showLegendKey val="0"/>
              <c:showVal val="0"/>
              <c:showCatName val="1"/>
              <c:showSerName val="0"/>
              <c:showPercent val="1"/>
              <c:showBubbleSize val="0"/>
              <c:extLst>
                <c:ext xmlns:c15="http://schemas.microsoft.com/office/drawing/2012/chart" uri="{CE6537A1-D6FC-4f65-9D91-7224C49458BB}">
                  <c15:layout>
                    <c:manualLayout>
                      <c:w val="0.25017644842152326"/>
                      <c:h val="0.26956626428086267"/>
                    </c:manualLayout>
                  </c15:layout>
                </c:ext>
                <c:ext xmlns:c16="http://schemas.microsoft.com/office/drawing/2014/chart" uri="{C3380CC4-5D6E-409C-BE32-E72D297353CC}">
                  <c16:uniqueId val="{00000005-0B33-474D-B8AF-B1215EEFD1A8}"/>
                </c:ext>
              </c:extLst>
            </c:dLbl>
            <c:dLbl>
              <c:idx val="3"/>
              <c:tx>
                <c:rich>
                  <a:bodyPr rot="0" spcFirstLastPara="1" vertOverflow="ellipsis" vert="horz" wrap="square" lIns="38100" tIns="19050" rIns="38100" bIns="19050" anchor="ctr" anchorCtr="1">
                    <a:spAutoFit/>
                  </a:bodyPr>
                  <a:lstStyle/>
                  <a:p>
                    <a:pPr>
                      <a:defRPr sz="1330" b="1" i="0" u="none" strike="noStrike" kern="1200" spc="0" baseline="0">
                        <a:solidFill>
                          <a:schemeClr val="accent1"/>
                        </a:solidFill>
                        <a:latin typeface="+mn-lt"/>
                        <a:ea typeface="+mn-ea"/>
                        <a:cs typeface="+mn-cs"/>
                      </a:defRPr>
                    </a:pPr>
                    <a:r>
                      <a:rPr lang="en-US" dirty="0"/>
                      <a:t>(</a:t>
                    </a:r>
                    <a:r>
                      <a:rPr lang="en-US" dirty="0" err="1"/>
                      <a:t>tiefen</a:t>
                    </a:r>
                    <a:r>
                      <a:rPr lang="en-US" dirty="0"/>
                      <a:t>) </a:t>
                    </a:r>
                    <a:r>
                      <a:rPr lang="en-US" dirty="0" err="1"/>
                      <a:t>psychologisch</a:t>
                    </a:r>
                    <a:endParaRPr lang="en-US" dirty="0"/>
                  </a:p>
                </c:rich>
              </c:tx>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accent1"/>
                      </a:solidFill>
                      <a:latin typeface="+mn-lt"/>
                      <a:ea typeface="+mn-ea"/>
                      <a:cs typeface="+mn-cs"/>
                    </a:defRPr>
                  </a:pPr>
                  <a:endParaRPr lang="de-DE"/>
                </a:p>
              </c:txPr>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B33-474D-B8AF-B1215EEFD1A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Tabelle1!$A$2:$A$5</c:f>
              <c:strCache>
                <c:ptCount val="4"/>
                <c:pt idx="0">
                  <c:v>Liteartzr</c:v>
                </c:pt>
                <c:pt idx="1">
                  <c:v>2. Quartal</c:v>
                </c:pt>
                <c:pt idx="2">
                  <c:v>3. Quartal</c:v>
                </c:pt>
                <c:pt idx="3">
                  <c:v>4. Quartal</c:v>
                </c:pt>
              </c:strCache>
            </c:strRef>
          </c:cat>
          <c:val>
            <c:numRef>
              <c:f>Tabelle1!$B$2:$B$5</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08-0B33-474D-B8AF-B1215EEFD1A8}"/>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FDFDFD"/>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cs:styleClr val="auto"/>
    </cs:fontRef>
    <cs:defRPr sz="133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33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1292</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W</dc:creator>
  <cp:keywords/>
  <dc:description/>
  <cp:lastModifiedBy>P W</cp:lastModifiedBy>
  <cp:revision>2</cp:revision>
  <dcterms:created xsi:type="dcterms:W3CDTF">2019-04-27T06:13:00Z</dcterms:created>
  <dcterms:modified xsi:type="dcterms:W3CDTF">2019-04-27T09:00:00Z</dcterms:modified>
</cp:coreProperties>
</file>