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4B7D" w14:textId="77777777" w:rsidR="006127BD" w:rsidRPr="00240B11" w:rsidRDefault="00A57060" w:rsidP="00A66DCC">
      <w:pPr>
        <w:spacing w:after="12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40B11">
        <w:rPr>
          <w:rFonts w:ascii="Times New Roman" w:hAnsi="Times New Roman" w:cs="Times New Roman"/>
          <w:b/>
          <w:sz w:val="40"/>
          <w:szCs w:val="24"/>
        </w:rPr>
        <w:t>Linguistische Analyse von Werbesprache</w:t>
      </w:r>
    </w:p>
    <w:p w14:paraId="24A1E87B" w14:textId="77777777" w:rsidR="00A57060" w:rsidRPr="009C5815" w:rsidRDefault="00817BA5" w:rsidP="00A66DC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5815">
        <w:rPr>
          <w:rFonts w:ascii="Times New Roman" w:hAnsi="Times New Roman" w:cs="Times New Roman"/>
          <w:b/>
          <w:sz w:val="32"/>
          <w:szCs w:val="24"/>
        </w:rPr>
        <w:t>Grundlegendes</w:t>
      </w:r>
    </w:p>
    <w:p w14:paraId="72608A00" w14:textId="77777777" w:rsidR="00817BA5" w:rsidRPr="009C5815" w:rsidRDefault="00817BA5" w:rsidP="00240B11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  <w:jc w:val="both"/>
      </w:pPr>
      <w:r w:rsidRPr="009C5815">
        <w:rPr>
          <w:rFonts w:eastAsiaTheme="minorEastAsia"/>
          <w:b/>
          <w:bCs/>
          <w:color w:val="000000" w:themeColor="text1"/>
          <w:kern w:val="24"/>
        </w:rPr>
        <w:t>Definition nach Hoffmann</w:t>
      </w:r>
      <w:r w:rsidRPr="009C5815">
        <w:rPr>
          <w:rFonts w:eastAsiaTheme="minorEastAsia"/>
          <w:color w:val="000000" w:themeColor="text1"/>
          <w:kern w:val="24"/>
        </w:rPr>
        <w:t xml:space="preserve">: „Werbung wird die geplante, öffentliche Übermittlung von Nachrichten dann genannt, wenn die Nachricht das Urteilen und/oder Handeln bestimmter Gruppen beeinflussen und damit einer Güter, Leistung oder Ideen produzierenden oder absetzenden Gruppe oder Institution (vergrößernd, erhaltend oder bei der Verwirklichung ihrer Aufgaben) dienen soll.“ (Hoffmann, Hans-Joachim, </w:t>
      </w:r>
      <w:r w:rsidRPr="009C5815">
        <w:rPr>
          <w:rFonts w:eastAsiaTheme="minorEastAsia"/>
          <w:i/>
          <w:color w:val="000000" w:themeColor="text1"/>
          <w:kern w:val="24"/>
        </w:rPr>
        <w:t>Psychologie der Werbekommunikation</w:t>
      </w:r>
      <w:r w:rsidRPr="009C5815">
        <w:rPr>
          <w:rFonts w:eastAsiaTheme="minorEastAsia"/>
          <w:color w:val="000000" w:themeColor="text1"/>
          <w:kern w:val="24"/>
        </w:rPr>
        <w:t xml:space="preserve">. 2., neubearbeitete Auflage. Berlin/New York: De Gruyter, 1981 [1972], S. 10. Zitiert nach: Janich, </w:t>
      </w:r>
      <w:r w:rsidRPr="009C5815">
        <w:rPr>
          <w:rFonts w:eastAsiaTheme="minorEastAsia"/>
          <w:i/>
          <w:iCs/>
          <w:color w:val="000000" w:themeColor="text1"/>
          <w:kern w:val="24"/>
        </w:rPr>
        <w:t>Werbesprache</w:t>
      </w:r>
      <w:r w:rsidRPr="009C5815">
        <w:rPr>
          <w:rFonts w:eastAsiaTheme="minorEastAsia"/>
          <w:color w:val="000000" w:themeColor="text1"/>
          <w:kern w:val="24"/>
        </w:rPr>
        <w:t>, S. 19)</w:t>
      </w:r>
    </w:p>
    <w:p w14:paraId="7C9B2199" w14:textId="77777777" w:rsidR="00817BA5" w:rsidRPr="009C5815" w:rsidRDefault="00817BA5" w:rsidP="00240B11">
      <w:pPr>
        <w:pStyle w:val="Listenabsatz"/>
        <w:numPr>
          <w:ilvl w:val="0"/>
          <w:numId w:val="1"/>
        </w:numPr>
        <w:ind w:left="360"/>
        <w:jc w:val="both"/>
      </w:pPr>
      <w:r w:rsidRPr="009C5815">
        <w:rPr>
          <w:rFonts w:eastAsiaTheme="minorEastAsia"/>
          <w:b/>
          <w:bCs/>
          <w:color w:val="000000" w:themeColor="text1"/>
          <w:kern w:val="24"/>
        </w:rPr>
        <w:t>Gegenstandsbereich für das untenstehende Analysemodell</w:t>
      </w:r>
      <w:r w:rsidRPr="009C5815">
        <w:rPr>
          <w:rFonts w:eastAsiaTheme="minorEastAsia"/>
          <w:color w:val="000000" w:themeColor="text1"/>
          <w:kern w:val="24"/>
        </w:rPr>
        <w:t>:</w:t>
      </w:r>
      <w:r w:rsidRPr="009C5815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9C5815">
        <w:rPr>
          <w:rFonts w:eastAsiaTheme="minorEastAsia"/>
          <w:color w:val="000000" w:themeColor="text1"/>
          <w:kern w:val="24"/>
        </w:rPr>
        <w:t xml:space="preserve">Werbung für wirtschaftliche Zwecke (wirtschaftspolitische Ziele eines Staates, Ziele eines Betriebes als Ganzes, Werbung für die Teilfunktionen eines Unternehmens: Absatzwerbung, Beschaffungswerbung, Personalwerbung) (vgl. Janich, </w:t>
      </w:r>
      <w:r w:rsidRPr="009C5815">
        <w:rPr>
          <w:rFonts w:eastAsiaTheme="minorEastAsia"/>
          <w:i/>
          <w:iCs/>
          <w:color w:val="000000" w:themeColor="text1"/>
          <w:kern w:val="24"/>
        </w:rPr>
        <w:t>Werbesprache</w:t>
      </w:r>
      <w:r w:rsidRPr="009C5815">
        <w:rPr>
          <w:rFonts w:eastAsiaTheme="minorEastAsia"/>
          <w:color w:val="000000" w:themeColor="text1"/>
          <w:kern w:val="24"/>
        </w:rPr>
        <w:t>, S. 20)</w:t>
      </w:r>
    </w:p>
    <w:p w14:paraId="6664F7AC" w14:textId="77777777" w:rsidR="00817BA5" w:rsidRPr="009C5815" w:rsidRDefault="00817BA5" w:rsidP="00A66DCC">
      <w:pPr>
        <w:pStyle w:val="StandardWeb"/>
        <w:spacing w:before="240" w:beforeAutospacing="0" w:after="0" w:afterAutospacing="0"/>
        <w:jc w:val="center"/>
        <w:rPr>
          <w:sz w:val="32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32"/>
        </w:rPr>
        <w:t xml:space="preserve">Methodik der Analyse von Werbesprache (Modell nach Janich, </w:t>
      </w:r>
      <w:r w:rsidRPr="009C5815">
        <w:rPr>
          <w:rFonts w:eastAsiaTheme="minorEastAsia"/>
          <w:b/>
          <w:bCs/>
          <w:i/>
          <w:iCs/>
          <w:color w:val="000000" w:themeColor="text1"/>
          <w:kern w:val="24"/>
          <w:sz w:val="32"/>
        </w:rPr>
        <w:t>Werbesprache</w:t>
      </w:r>
      <w:r w:rsidRPr="009C5815">
        <w:rPr>
          <w:rFonts w:eastAsiaTheme="minorEastAsia"/>
          <w:b/>
          <w:bCs/>
          <w:color w:val="000000" w:themeColor="text1"/>
          <w:kern w:val="24"/>
          <w:sz w:val="32"/>
        </w:rPr>
        <w:t>, S. 267)</w:t>
      </w:r>
    </w:p>
    <w:p w14:paraId="4A7E5C86" w14:textId="77777777" w:rsidR="00817BA5" w:rsidRPr="009C5815" w:rsidRDefault="00817BA5" w:rsidP="00817BA5">
      <w:pPr>
        <w:pStyle w:val="StandardWeb"/>
        <w:spacing w:before="0" w:beforeAutospacing="0" w:after="120" w:afterAutospacing="0"/>
        <w:jc w:val="center"/>
      </w:pPr>
      <w:r w:rsidRPr="009C5815">
        <w:rPr>
          <w:rFonts w:eastAsiaTheme="minorEastAsia"/>
          <w:b/>
          <w:bCs/>
          <w:color w:val="000000" w:themeColor="text1"/>
          <w:kern w:val="24"/>
        </w:rPr>
        <w:t xml:space="preserve">Vorbemerkung: Das Modell geht von Printwerbung aus und ist für Werbespots im TV durch Montage etc. zu erweitern. </w:t>
      </w:r>
    </w:p>
    <w:p w14:paraId="6CB04EC1" w14:textId="77777777" w:rsidR="00817BA5" w:rsidRPr="009C5815" w:rsidRDefault="00817BA5" w:rsidP="009C5815">
      <w:pPr>
        <w:pStyle w:val="StandardWeb"/>
        <w:spacing w:before="0" w:beforeAutospacing="0" w:after="120" w:afterAutospacing="0"/>
        <w:jc w:val="center"/>
        <w:rPr>
          <w:sz w:val="32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32"/>
        </w:rPr>
        <w:t>Analyse</w:t>
      </w:r>
    </w:p>
    <w:p w14:paraId="42CA264B" w14:textId="77777777" w:rsidR="00817BA5" w:rsidRPr="009C5815" w:rsidRDefault="00817BA5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28"/>
        </w:rPr>
        <w:t>1. Textexterne Faktoren</w:t>
      </w:r>
    </w:p>
    <w:tbl>
      <w:tblPr>
        <w:tblW w:w="18054" w:type="dxa"/>
        <w:tblInd w:w="35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8"/>
        <w:gridCol w:w="13376"/>
      </w:tblGrid>
      <w:tr w:rsidR="00817BA5" w:rsidRPr="00817BA5" w14:paraId="32ACBBF7" w14:textId="77777777" w:rsidTr="002E39DA">
        <w:trPr>
          <w:trHeight w:val="584"/>
        </w:trPr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BDF8A" w14:textId="77777777" w:rsidR="00817BA5" w:rsidRPr="00817BA5" w:rsidRDefault="00817BA5" w:rsidP="00817BA5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Werbemittel</w:t>
            </w:r>
          </w:p>
          <w:p w14:paraId="0E2B983D" w14:textId="77777777" w:rsidR="00817BA5" w:rsidRPr="009C5815" w:rsidRDefault="00817BA5" w:rsidP="00817BA5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Produktbranche</w:t>
            </w:r>
          </w:p>
          <w:p w14:paraId="397C0D3D" w14:textId="77777777" w:rsidR="00817BA5" w:rsidRPr="00817BA5" w:rsidRDefault="00817BA5" w:rsidP="00817BA5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Werbeziel</w:t>
            </w:r>
          </w:p>
        </w:tc>
        <w:tc>
          <w:tcPr>
            <w:tcW w:w="133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4B606" w14:textId="77777777" w:rsidR="00817BA5" w:rsidRPr="00817BA5" w:rsidRDefault="00817BA5" w:rsidP="00817BA5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Sender</w:t>
            </w: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lang w:eastAsia="de-DE"/>
              </w:rPr>
              <w:t xml:space="preserve"> (Produzent/Agentur)</w:t>
            </w:r>
          </w:p>
          <w:p w14:paraId="2097EE5B" w14:textId="77777777" w:rsidR="00817BA5" w:rsidRPr="009C5815" w:rsidRDefault="00817BA5" w:rsidP="00817BA5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lang w:eastAsia="de-DE"/>
              </w:rPr>
              <w:t>Empfänger (Zielgruppe)</w:t>
            </w:r>
          </w:p>
          <w:p w14:paraId="7F9FDB4B" w14:textId="77777777" w:rsidR="00817BA5" w:rsidRPr="00817BA5" w:rsidRDefault="00817BA5" w:rsidP="00817BA5">
            <w:pPr>
              <w:numPr>
                <w:ilvl w:val="0"/>
                <w:numId w:val="2"/>
              </w:num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1"/>
                <w:sz w:val="24"/>
                <w:szCs w:val="24"/>
                <w:lang w:eastAsia="de-DE"/>
              </w:rPr>
              <w:t>Konkrete Marktsituation</w:t>
            </w:r>
          </w:p>
        </w:tc>
      </w:tr>
    </w:tbl>
    <w:p w14:paraId="27B3C5FA" w14:textId="77777777" w:rsidR="00817BA5" w:rsidRPr="009C5815" w:rsidRDefault="00817BA5" w:rsidP="002E39DA">
      <w:pPr>
        <w:pStyle w:val="StandardWeb"/>
        <w:spacing w:before="120" w:beforeAutospacing="0" w:after="12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28"/>
        </w:rPr>
        <w:t>2. Aufbau, Struktur und Form der Teiltexte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2E39DA" w:rsidRPr="009C5815" w14:paraId="2563076C" w14:textId="77777777" w:rsidTr="00240B11">
        <w:tc>
          <w:tcPr>
            <w:tcW w:w="5179" w:type="dxa"/>
          </w:tcPr>
          <w:p w14:paraId="36BEDA18" w14:textId="77777777" w:rsidR="002E39DA" w:rsidRPr="009C5815" w:rsidRDefault="002E39DA" w:rsidP="002E39DA">
            <w:pPr>
              <w:pStyle w:val="StandardWeb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9C5815">
              <w:rPr>
                <w:rFonts w:eastAsiaTheme="minorEastAsia"/>
                <w:b/>
                <w:bCs/>
                <w:color w:val="000000" w:themeColor="text1"/>
                <w:kern w:val="24"/>
              </w:rPr>
              <w:t>Verbal</w:t>
            </w:r>
          </w:p>
        </w:tc>
        <w:tc>
          <w:tcPr>
            <w:tcW w:w="5179" w:type="dxa"/>
          </w:tcPr>
          <w:p w14:paraId="52C18F21" w14:textId="77777777" w:rsidR="002E39DA" w:rsidRPr="009C5815" w:rsidRDefault="002E39DA" w:rsidP="002E39DA">
            <w:pPr>
              <w:pStyle w:val="StandardWeb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9C5815">
              <w:rPr>
                <w:rFonts w:eastAsiaTheme="minorEastAsia"/>
                <w:b/>
                <w:bCs/>
                <w:color w:val="000000" w:themeColor="text1"/>
                <w:kern w:val="24"/>
              </w:rPr>
              <w:t>Paraverbal</w:t>
            </w:r>
          </w:p>
        </w:tc>
        <w:tc>
          <w:tcPr>
            <w:tcW w:w="5180" w:type="dxa"/>
          </w:tcPr>
          <w:p w14:paraId="669CB89B" w14:textId="77777777" w:rsidR="002E39DA" w:rsidRPr="009C5815" w:rsidRDefault="002E39DA" w:rsidP="002E39DA">
            <w:pPr>
              <w:pStyle w:val="StandardWeb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9C5815">
              <w:rPr>
                <w:rFonts w:eastAsiaTheme="minorEastAsia"/>
                <w:b/>
                <w:bCs/>
                <w:color w:val="000000" w:themeColor="text1"/>
                <w:kern w:val="24"/>
              </w:rPr>
              <w:t>Visuell</w:t>
            </w:r>
          </w:p>
        </w:tc>
      </w:tr>
      <w:tr w:rsidR="002E39DA" w:rsidRPr="009C5815" w14:paraId="2CD0D90D" w14:textId="77777777" w:rsidTr="00240B11">
        <w:tc>
          <w:tcPr>
            <w:tcW w:w="5179" w:type="dxa"/>
          </w:tcPr>
          <w:p w14:paraId="63209066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Verteilung der Textelemente</w:t>
            </w:r>
          </w:p>
          <w:p w14:paraId="735094E9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Lexik</w:t>
            </w:r>
          </w:p>
          <w:p w14:paraId="756D9225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Phraseologie</w:t>
            </w:r>
          </w:p>
          <w:p w14:paraId="078C9E0A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Syntax</w:t>
            </w:r>
          </w:p>
          <w:p w14:paraId="38979E34" w14:textId="77777777" w:rsidR="002E39DA" w:rsidRPr="009C581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Koreferenz</w:t>
            </w:r>
            <w:proofErr w:type="spellEnd"/>
          </w:p>
          <w:p w14:paraId="2B9D100D" w14:textId="77777777" w:rsidR="00817BA5" w:rsidRPr="00817BA5" w:rsidRDefault="002E39DA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9C581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Konnexion</w:t>
            </w:r>
          </w:p>
          <w:p w14:paraId="437D906C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Produktname</w:t>
            </w:r>
          </w:p>
          <w:p w14:paraId="431A66EF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Rhetorische Figuren</w:t>
            </w:r>
          </w:p>
          <w:p w14:paraId="66EBC7A6" w14:textId="77777777" w:rsidR="00817BA5" w:rsidRPr="009C581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Sprachspiele</w:t>
            </w:r>
          </w:p>
          <w:p w14:paraId="7E570990" w14:textId="77777777" w:rsidR="002E39DA" w:rsidRPr="009C5815" w:rsidRDefault="00817BA5" w:rsidP="002E39DA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ind w:left="1777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817BA5">
              <w:rPr>
                <w:color w:val="000000" w:themeColor="text1"/>
                <w:kern w:val="24"/>
                <w:position w:val="1"/>
              </w:rPr>
              <w:t>Elemente von Varietäten</w:t>
            </w:r>
          </w:p>
        </w:tc>
        <w:tc>
          <w:tcPr>
            <w:tcW w:w="5179" w:type="dxa"/>
          </w:tcPr>
          <w:p w14:paraId="6C16C67B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Interpunktion</w:t>
            </w:r>
          </w:p>
          <w:p w14:paraId="40C94F8D" w14:textId="77777777" w:rsidR="00817BA5" w:rsidRPr="00817BA5" w:rsidRDefault="00817BA5" w:rsidP="002E39DA">
            <w:pPr>
              <w:numPr>
                <w:ilvl w:val="0"/>
                <w:numId w:val="3"/>
              </w:numPr>
              <w:ind w:left="17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Schriftart</w:t>
            </w:r>
          </w:p>
          <w:p w14:paraId="05FD993C" w14:textId="77777777" w:rsidR="002E39DA" w:rsidRPr="009C5815" w:rsidRDefault="00817BA5" w:rsidP="002E39DA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ind w:left="1777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817BA5">
              <w:rPr>
                <w:color w:val="000000" w:themeColor="text1"/>
                <w:kern w:val="24"/>
              </w:rPr>
              <w:t>Typographische Besonderheiten</w:t>
            </w:r>
          </w:p>
        </w:tc>
        <w:tc>
          <w:tcPr>
            <w:tcW w:w="5180" w:type="dxa"/>
          </w:tcPr>
          <w:p w14:paraId="6CEC516F" w14:textId="77777777" w:rsidR="00817BA5" w:rsidRPr="009C5815" w:rsidRDefault="00817BA5" w:rsidP="002E39DA">
            <w:pPr>
              <w:pStyle w:val="Listenabsatz"/>
              <w:numPr>
                <w:ilvl w:val="0"/>
                <w:numId w:val="3"/>
              </w:numPr>
              <w:ind w:left="1777"/>
            </w:pPr>
            <w:r w:rsidRPr="009C5815">
              <w:rPr>
                <w:color w:val="000000" w:themeColor="text1"/>
                <w:kern w:val="24"/>
              </w:rPr>
              <w:t>Zeichentypen</w:t>
            </w:r>
          </w:p>
          <w:p w14:paraId="40FD09D5" w14:textId="77777777" w:rsidR="00817BA5" w:rsidRPr="009C5815" w:rsidRDefault="00817BA5" w:rsidP="002E39DA">
            <w:pPr>
              <w:pStyle w:val="Listenabsatz"/>
              <w:numPr>
                <w:ilvl w:val="0"/>
                <w:numId w:val="3"/>
              </w:numPr>
              <w:ind w:left="1777"/>
            </w:pPr>
            <w:r w:rsidRPr="009C5815">
              <w:rPr>
                <w:color w:val="000000" w:themeColor="text1"/>
                <w:kern w:val="24"/>
              </w:rPr>
              <w:t>Farb-</w:t>
            </w:r>
            <w:r w:rsidRPr="009C5815">
              <w:rPr>
                <w:color w:val="000000" w:themeColor="text1"/>
                <w:kern w:val="24"/>
                <w:position w:val="1"/>
              </w:rPr>
              <w:t xml:space="preserve"> und Formgebung</w:t>
            </w:r>
          </w:p>
          <w:p w14:paraId="466F099E" w14:textId="77777777" w:rsidR="002E39DA" w:rsidRPr="009C5815" w:rsidRDefault="00817BA5" w:rsidP="002E39DA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ind w:left="1777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817BA5">
              <w:rPr>
                <w:color w:val="000000" w:themeColor="text1"/>
                <w:kern w:val="24"/>
                <w:position w:val="1"/>
              </w:rPr>
              <w:t>Verteilung</w:t>
            </w:r>
          </w:p>
        </w:tc>
      </w:tr>
    </w:tbl>
    <w:p w14:paraId="63239BB7" w14:textId="77777777" w:rsidR="00817BA5" w:rsidRPr="009C5815" w:rsidRDefault="00817BA5" w:rsidP="00DB7364">
      <w:pPr>
        <w:pStyle w:val="StandardWeb"/>
        <w:spacing w:before="240" w:beforeAutospacing="0" w:after="0" w:afterAutospacing="0"/>
        <w:jc w:val="center"/>
        <w:rPr>
          <w:sz w:val="28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28"/>
        </w:rPr>
        <w:lastRenderedPageBreak/>
        <w:t xml:space="preserve">3. Inhalt und Bedeutung der Teiltexte </w:t>
      </w:r>
    </w:p>
    <w:p w14:paraId="6819AD12" w14:textId="77777777" w:rsidR="00817BA5" w:rsidRPr="009C5815" w:rsidRDefault="00817BA5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9C5815">
        <w:rPr>
          <w:rFonts w:eastAsiaTheme="minorEastAsia"/>
          <w:b/>
          <w:bCs/>
          <w:color w:val="000000" w:themeColor="text1"/>
          <w:kern w:val="24"/>
        </w:rPr>
        <w:t>Analyse der verbalen und visuellen Elemente und ihrer intratextuellen Beziehungen</w:t>
      </w:r>
    </w:p>
    <w:tbl>
      <w:tblPr>
        <w:tblW w:w="18621" w:type="dxa"/>
        <w:tblInd w:w="29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13801"/>
      </w:tblGrid>
      <w:tr w:rsidR="00817BA5" w:rsidRPr="00817BA5" w14:paraId="7D104342" w14:textId="77777777" w:rsidTr="009C5815">
        <w:trPr>
          <w:trHeight w:val="553"/>
        </w:trPr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17377" w14:textId="77777777" w:rsidR="00817BA5" w:rsidRPr="00817BA5" w:rsidRDefault="00817BA5" w:rsidP="00817BA5">
            <w:pPr>
              <w:numPr>
                <w:ilvl w:val="0"/>
                <w:numId w:val="6"/>
              </w:numPr>
              <w:spacing w:after="0" w:line="240" w:lineRule="auto"/>
              <w:ind w:left="1440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Denotation und Konnotation</w:t>
            </w:r>
          </w:p>
          <w:p w14:paraId="0487739A" w14:textId="77777777" w:rsidR="00817BA5" w:rsidRPr="00817BA5" w:rsidRDefault="00817BA5" w:rsidP="00817BA5">
            <w:pPr>
              <w:numPr>
                <w:ilvl w:val="0"/>
                <w:numId w:val="6"/>
              </w:numPr>
              <w:spacing w:after="0" w:line="240" w:lineRule="auto"/>
              <w:ind w:left="1440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Assoziation</w:t>
            </w:r>
          </w:p>
        </w:tc>
        <w:tc>
          <w:tcPr>
            <w:tcW w:w="138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A867A" w14:textId="77777777" w:rsidR="00817BA5" w:rsidRPr="00817BA5" w:rsidRDefault="00817BA5" w:rsidP="00817BA5">
            <w:pPr>
              <w:numPr>
                <w:ilvl w:val="0"/>
                <w:numId w:val="6"/>
              </w:numPr>
              <w:spacing w:after="0" w:line="240" w:lineRule="auto"/>
              <w:ind w:left="1440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Isotopie</w:t>
            </w:r>
          </w:p>
          <w:p w14:paraId="20B5E49E" w14:textId="77777777" w:rsidR="00817BA5" w:rsidRPr="00817BA5" w:rsidRDefault="00817BA5" w:rsidP="00817BA5">
            <w:pPr>
              <w:numPr>
                <w:ilvl w:val="0"/>
                <w:numId w:val="6"/>
              </w:numPr>
              <w:spacing w:after="0" w:line="240" w:lineRule="auto"/>
              <w:ind w:left="1440"/>
              <w:contextualSpacing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17B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de-DE"/>
              </w:rPr>
              <w:t>Intertextualität</w:t>
            </w:r>
          </w:p>
        </w:tc>
      </w:tr>
    </w:tbl>
    <w:p w14:paraId="73F12E37" w14:textId="77777777" w:rsidR="00817BA5" w:rsidRPr="009C5815" w:rsidRDefault="00817BA5" w:rsidP="009C5815">
      <w:pPr>
        <w:pStyle w:val="StandardWeb"/>
        <w:spacing w:before="240" w:beforeAutospacing="0" w:after="120" w:afterAutospacing="0"/>
        <w:jc w:val="center"/>
        <w:rPr>
          <w:sz w:val="32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32"/>
        </w:rPr>
        <w:t>Synthese</w:t>
      </w:r>
    </w:p>
    <w:p w14:paraId="0686DBE9" w14:textId="77777777" w:rsidR="00817BA5" w:rsidRPr="009C5815" w:rsidRDefault="002E39DA" w:rsidP="002E39D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C581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</w:rPr>
        <w:t xml:space="preserve">1. </w:t>
      </w:r>
      <w:r w:rsidR="00817BA5" w:rsidRPr="009C581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</w:rPr>
        <w:t>Zusammenspiel textinterner Faktoren</w:t>
      </w:r>
    </w:p>
    <w:p w14:paraId="7EAF2AB8" w14:textId="77777777" w:rsidR="00817BA5" w:rsidRPr="009C5815" w:rsidRDefault="00817BA5" w:rsidP="002E39DA">
      <w:pPr>
        <w:pStyle w:val="Listenabsatz"/>
        <w:numPr>
          <w:ilvl w:val="0"/>
          <w:numId w:val="8"/>
        </w:numPr>
        <w:ind w:left="6199"/>
      </w:pPr>
      <w:r w:rsidRPr="009C5815">
        <w:rPr>
          <w:rFonts w:eastAsiaTheme="minorEastAsia"/>
          <w:color w:val="000000" w:themeColor="text1"/>
          <w:kern w:val="24"/>
        </w:rPr>
        <w:t>Argumentation (formal und inhaltlich)</w:t>
      </w:r>
    </w:p>
    <w:p w14:paraId="2106D413" w14:textId="77777777" w:rsidR="00817BA5" w:rsidRPr="009C5815" w:rsidRDefault="00817BA5" w:rsidP="002E39DA">
      <w:pPr>
        <w:pStyle w:val="Listenabsatz"/>
        <w:numPr>
          <w:ilvl w:val="0"/>
          <w:numId w:val="8"/>
        </w:numPr>
        <w:ind w:left="6199"/>
      </w:pPr>
      <w:r w:rsidRPr="009C5815">
        <w:rPr>
          <w:rFonts w:eastAsiaTheme="minorEastAsia"/>
          <w:color w:val="000000" w:themeColor="text1"/>
          <w:kern w:val="24"/>
        </w:rPr>
        <w:t>Text-/Teil- und Zusatzhandlungen</w:t>
      </w:r>
    </w:p>
    <w:p w14:paraId="1E02A0DD" w14:textId="77777777" w:rsidR="00817BA5" w:rsidRPr="009C5815" w:rsidRDefault="00817BA5" w:rsidP="002E39DA">
      <w:pPr>
        <w:pStyle w:val="Listenabsatz"/>
        <w:numPr>
          <w:ilvl w:val="0"/>
          <w:numId w:val="8"/>
        </w:numPr>
        <w:ind w:left="6199"/>
      </w:pPr>
      <w:r w:rsidRPr="009C5815">
        <w:rPr>
          <w:rFonts w:eastAsiaTheme="minorEastAsia"/>
          <w:color w:val="000000" w:themeColor="text1"/>
          <w:kern w:val="24"/>
        </w:rPr>
        <w:t>Persuasive Funktionen der einzelnen Elemente</w:t>
      </w:r>
    </w:p>
    <w:p w14:paraId="65E20E75" w14:textId="77777777" w:rsidR="00817BA5" w:rsidRPr="009C5815" w:rsidRDefault="00817BA5" w:rsidP="002E39DA">
      <w:pPr>
        <w:pStyle w:val="StandardWeb"/>
        <w:spacing w:before="240" w:beforeAutospacing="0" w:after="0" w:afterAutospacing="0"/>
        <w:jc w:val="center"/>
        <w:rPr>
          <w:sz w:val="28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28"/>
        </w:rPr>
        <w:t>2. Korrelation von textinternen und textexternen Faktoren</w:t>
      </w:r>
    </w:p>
    <w:p w14:paraId="2C5185FB" w14:textId="77777777" w:rsidR="00817BA5" w:rsidRPr="009C5815" w:rsidRDefault="00817BA5" w:rsidP="002E39DA">
      <w:pPr>
        <w:pStyle w:val="Listenabsatz"/>
        <w:numPr>
          <w:ilvl w:val="0"/>
          <w:numId w:val="9"/>
        </w:numPr>
        <w:ind w:left="5179"/>
      </w:pPr>
      <w:r w:rsidRPr="009C5815">
        <w:rPr>
          <w:rFonts w:eastAsiaTheme="minorEastAsia"/>
          <w:color w:val="000000" w:themeColor="text1"/>
          <w:kern w:val="24"/>
        </w:rPr>
        <w:t>Verfeinerung bzw. Berichtigung der Ergebnisse der 1. Analysestufe erforderlich?</w:t>
      </w:r>
    </w:p>
    <w:p w14:paraId="4E8DC21A" w14:textId="77777777" w:rsidR="00817BA5" w:rsidRPr="009C5815" w:rsidRDefault="00817BA5" w:rsidP="002E39DA">
      <w:pPr>
        <w:pStyle w:val="Listenabsatz"/>
        <w:numPr>
          <w:ilvl w:val="0"/>
          <w:numId w:val="9"/>
        </w:numPr>
        <w:ind w:left="5179"/>
      </w:pPr>
      <w:r w:rsidRPr="009C5815">
        <w:rPr>
          <w:rFonts w:eastAsiaTheme="minorEastAsia"/>
          <w:color w:val="000000" w:themeColor="text1"/>
          <w:kern w:val="24"/>
        </w:rPr>
        <w:t>Textsorte und Textfunktion (prototypisch)</w:t>
      </w:r>
    </w:p>
    <w:p w14:paraId="2F5C4A12" w14:textId="77777777" w:rsidR="00817BA5" w:rsidRPr="009C5815" w:rsidRDefault="00817BA5" w:rsidP="002E39DA">
      <w:pPr>
        <w:pStyle w:val="Listenabsatz"/>
        <w:numPr>
          <w:ilvl w:val="0"/>
          <w:numId w:val="9"/>
        </w:numPr>
        <w:ind w:left="5179"/>
      </w:pPr>
      <w:r w:rsidRPr="009C5815">
        <w:rPr>
          <w:rFonts w:eastAsiaTheme="minorEastAsia"/>
          <w:color w:val="000000" w:themeColor="text1"/>
          <w:kern w:val="24"/>
        </w:rPr>
        <w:t>Werbeziel</w:t>
      </w:r>
    </w:p>
    <w:p w14:paraId="02925A3A" w14:textId="77777777" w:rsidR="00817BA5" w:rsidRPr="009C5815" w:rsidRDefault="00240B11" w:rsidP="002E39DA">
      <w:pPr>
        <w:pStyle w:val="StandardWeb"/>
        <w:spacing w:before="240" w:beforeAutospacing="0" w:after="0" w:afterAutospacing="0"/>
        <w:jc w:val="center"/>
        <w:rPr>
          <w:sz w:val="28"/>
        </w:rPr>
      </w:pPr>
      <w:r>
        <w:rPr>
          <w:rFonts w:eastAsiaTheme="minorEastAsia"/>
          <w:b/>
          <w:bCs/>
          <w:noProof/>
          <w:color w:val="000000" w:themeColor="text1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57646" wp14:editId="46E746BA">
                <wp:simplePos x="0" y="0"/>
                <wp:positionH relativeFrom="column">
                  <wp:posOffset>4354830</wp:posOffset>
                </wp:positionH>
                <wp:positionV relativeFrom="paragraph">
                  <wp:posOffset>201930</wp:posOffset>
                </wp:positionV>
                <wp:extent cx="1036955" cy="128905"/>
                <wp:effectExtent l="0" t="0" r="10795" b="23495"/>
                <wp:wrapNone/>
                <wp:docPr id="2" name="Pfeil nach links und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12890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2EAD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2" o:spid="_x0000_s1026" type="#_x0000_t69" style="position:absolute;margin-left:342.9pt;margin-top:15.9pt;width:81.6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" adj="1343" fillcolor="black [3213]" strokecolor="black [3213]" strokeweight="2pt"/>
            </w:pict>
          </mc:Fallback>
        </mc:AlternateContent>
      </w:r>
      <w:r>
        <w:rPr>
          <w:rFonts w:eastAsiaTheme="minorEastAsia"/>
          <w:b/>
          <w:bCs/>
          <w:noProof/>
          <w:color w:val="000000" w:themeColor="text1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12B9B" wp14:editId="2942B193">
                <wp:simplePos x="0" y="0"/>
                <wp:positionH relativeFrom="column">
                  <wp:posOffset>4812030</wp:posOffset>
                </wp:positionH>
                <wp:positionV relativeFrom="paragraph">
                  <wp:posOffset>330835</wp:posOffset>
                </wp:positionV>
                <wp:extent cx="140335" cy="357505"/>
                <wp:effectExtent l="19050" t="0" r="31115" b="42545"/>
                <wp:wrapNone/>
                <wp:docPr id="1" name="Pfeil nach un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35750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79E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" o:spid="_x0000_s1026" type="#_x0000_t67" style="position:absolute;margin-left:378.9pt;margin-top:26.05pt;width:11.05pt;height:2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" adj="17361" fillcolor="black [3213]" strokecolor="black [3213]" strokeweight="2pt"/>
            </w:pict>
          </mc:Fallback>
        </mc:AlternateContent>
      </w:r>
      <w:r w:rsidR="00817BA5" w:rsidRPr="009C5815">
        <w:rPr>
          <w:rFonts w:eastAsiaTheme="minorEastAsia"/>
          <w:b/>
          <w:bCs/>
          <w:color w:val="000000" w:themeColor="text1"/>
          <w:kern w:val="24"/>
          <w:sz w:val="28"/>
        </w:rPr>
        <w:t>3. Werbeinhalt                        Werbeintention</w:t>
      </w:r>
    </w:p>
    <w:p w14:paraId="439C13B3" w14:textId="77777777" w:rsidR="00817BA5" w:rsidRPr="009C5815" w:rsidRDefault="00817BA5" w:rsidP="00817BA5">
      <w:pPr>
        <w:pStyle w:val="StandardWeb"/>
        <w:spacing w:before="480" w:beforeAutospacing="0" w:after="0" w:afterAutospacing="0"/>
        <w:jc w:val="center"/>
        <w:rPr>
          <w:sz w:val="28"/>
        </w:rPr>
      </w:pPr>
      <w:r w:rsidRPr="009C5815">
        <w:rPr>
          <w:rFonts w:eastAsiaTheme="minorEastAsia"/>
          <w:b/>
          <w:bCs/>
          <w:color w:val="000000" w:themeColor="text1"/>
          <w:kern w:val="24"/>
          <w:sz w:val="28"/>
        </w:rPr>
        <w:t>Werbewirkung</w:t>
      </w:r>
    </w:p>
    <w:p w14:paraId="55AC8F72" w14:textId="77777777" w:rsidR="00817BA5" w:rsidRPr="009C5815" w:rsidRDefault="00817BA5" w:rsidP="00817BA5">
      <w:pPr>
        <w:pStyle w:val="StandardWeb"/>
        <w:spacing w:before="120" w:beforeAutospacing="0" w:after="0" w:afterAutospacing="0"/>
        <w:jc w:val="center"/>
      </w:pPr>
      <w:r w:rsidRPr="009C5815">
        <w:rPr>
          <w:rFonts w:eastAsiaTheme="minorEastAsia"/>
          <w:color w:val="000000" w:themeColor="text1"/>
          <w:kern w:val="24"/>
        </w:rPr>
        <w:t>Mögliche und beabsichtigte Werbewirkung des Supertextes unter Berücksichtigung der Zielgruppe und der Kommunikationssituation</w:t>
      </w:r>
    </w:p>
    <w:p w14:paraId="5807FBF4" w14:textId="77777777" w:rsidR="00817BA5" w:rsidRPr="009C5815" w:rsidRDefault="00817BA5" w:rsidP="00817BA5">
      <w:pPr>
        <w:pStyle w:val="StandardWeb"/>
        <w:spacing w:before="0" w:beforeAutospacing="0" w:after="0" w:afterAutospacing="0"/>
        <w:jc w:val="center"/>
      </w:pPr>
    </w:p>
    <w:p w14:paraId="45599CED" w14:textId="77777777" w:rsidR="00817BA5" w:rsidRPr="009C5815" w:rsidRDefault="00817BA5" w:rsidP="00817BA5">
      <w:pPr>
        <w:pStyle w:val="StandardWeb"/>
        <w:spacing w:before="0" w:beforeAutospacing="0" w:after="0" w:afterAutospacing="0"/>
        <w:jc w:val="center"/>
      </w:pPr>
    </w:p>
    <w:p w14:paraId="19E60F69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29E9E46C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0CECBC55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7101CC16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6CFF6592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1CE87C5D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1DF7CC09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465B3D5A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354D757F" w14:textId="77777777" w:rsidR="00240B11" w:rsidRDefault="00240B11" w:rsidP="00817BA5">
      <w:pPr>
        <w:pStyle w:val="StandardWeb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</w:p>
    <w:p w14:paraId="02316718" w14:textId="77777777" w:rsidR="00817BA5" w:rsidRPr="00240B11" w:rsidRDefault="00817BA5" w:rsidP="00240B11">
      <w:pPr>
        <w:pStyle w:val="StandardWeb"/>
        <w:spacing w:before="0" w:beforeAutospacing="0" w:after="120" w:afterAutospacing="0"/>
        <w:jc w:val="center"/>
        <w:rPr>
          <w:sz w:val="32"/>
        </w:rPr>
      </w:pPr>
      <w:r w:rsidRPr="00240B11">
        <w:rPr>
          <w:rFonts w:eastAsiaTheme="minorEastAsia"/>
          <w:b/>
          <w:bCs/>
          <w:color w:val="000000" w:themeColor="text1"/>
          <w:kern w:val="24"/>
          <w:sz w:val="32"/>
        </w:rPr>
        <w:lastRenderedPageBreak/>
        <w:t>Mögliche Ausg</w:t>
      </w:r>
      <w:r w:rsidR="00240B11" w:rsidRPr="00240B11">
        <w:rPr>
          <w:rFonts w:eastAsiaTheme="minorEastAsia"/>
          <w:b/>
          <w:bCs/>
          <w:color w:val="000000" w:themeColor="text1"/>
          <w:kern w:val="24"/>
          <w:sz w:val="32"/>
        </w:rPr>
        <w:t>angspunkte für die schriftliche</w:t>
      </w:r>
      <w:r w:rsidRPr="00240B11">
        <w:rPr>
          <w:rFonts w:eastAsiaTheme="minorEastAsia"/>
          <w:b/>
          <w:bCs/>
          <w:color w:val="000000" w:themeColor="text1"/>
          <w:kern w:val="24"/>
          <w:sz w:val="32"/>
        </w:rPr>
        <w:t xml:space="preserve"> Hausarbeit</w:t>
      </w:r>
    </w:p>
    <w:p w14:paraId="3C4CC62E" w14:textId="77777777" w:rsidR="00817BA5" w:rsidRPr="009C5815" w:rsidRDefault="00817BA5" w:rsidP="004260AC">
      <w:pPr>
        <w:pStyle w:val="Listenabsatz"/>
        <w:numPr>
          <w:ilvl w:val="0"/>
          <w:numId w:val="10"/>
        </w:numPr>
        <w:spacing w:after="120"/>
        <w:ind w:left="714" w:hanging="357"/>
        <w:contextualSpacing w:val="0"/>
        <w:jc w:val="both"/>
      </w:pPr>
      <w:bookmarkStart w:id="0" w:name="_Hlk50371561"/>
      <w:r w:rsidRPr="009C5815">
        <w:rPr>
          <w:rFonts w:eastAsiaTheme="minorEastAsia"/>
          <w:b/>
          <w:bCs/>
          <w:color w:val="000000" w:themeColor="text1"/>
          <w:kern w:val="24"/>
        </w:rPr>
        <w:t>Analyse von Einzelaspekten</w:t>
      </w:r>
      <w:r w:rsidRPr="009C5815">
        <w:rPr>
          <w:rFonts w:eastAsiaTheme="minorEastAsia"/>
          <w:color w:val="000000" w:themeColor="text1"/>
          <w:kern w:val="24"/>
        </w:rPr>
        <w:t xml:space="preserve"> anhand ausgewählter Dokumente aus der Werbung (diverse Schwerpunkte aus den Teilbereichen Morphologie, Syntax, Semantik, Pragmatik und Soziolinguistik möglich)</w:t>
      </w:r>
    </w:p>
    <w:p w14:paraId="685BB0F9" w14:textId="54C468C1" w:rsidR="00817BA5" w:rsidRPr="009C5815" w:rsidRDefault="00817BA5" w:rsidP="004260AC">
      <w:pPr>
        <w:pStyle w:val="Listenabsatz"/>
        <w:numPr>
          <w:ilvl w:val="0"/>
          <w:numId w:val="10"/>
        </w:numPr>
        <w:spacing w:after="120"/>
        <w:ind w:left="714" w:hanging="357"/>
        <w:contextualSpacing w:val="0"/>
        <w:jc w:val="both"/>
      </w:pPr>
      <w:r w:rsidRPr="009C5815">
        <w:rPr>
          <w:rFonts w:eastAsiaTheme="minorEastAsia"/>
          <w:b/>
          <w:bCs/>
          <w:color w:val="000000" w:themeColor="text1"/>
          <w:kern w:val="24"/>
        </w:rPr>
        <w:t>Ganzheitliche Analyse</w:t>
      </w:r>
      <w:r w:rsidRPr="009C5815">
        <w:rPr>
          <w:rFonts w:eastAsiaTheme="minorEastAsia"/>
          <w:color w:val="000000" w:themeColor="text1"/>
          <w:kern w:val="24"/>
        </w:rPr>
        <w:t xml:space="preserve"> anhand von </w:t>
      </w:r>
      <w:r w:rsidR="00F851BF">
        <w:rPr>
          <w:rFonts w:eastAsiaTheme="minorEastAsia"/>
          <w:color w:val="000000" w:themeColor="text1"/>
          <w:kern w:val="24"/>
        </w:rPr>
        <w:t>maximal 2-3</w:t>
      </w:r>
      <w:r w:rsidRPr="009C5815">
        <w:rPr>
          <w:rFonts w:eastAsiaTheme="minorEastAsia"/>
          <w:color w:val="000000" w:themeColor="text1"/>
          <w:kern w:val="24"/>
        </w:rPr>
        <w:t xml:space="preserve"> Dokumenten</w:t>
      </w:r>
      <w:r w:rsidR="00773B4F">
        <w:rPr>
          <w:rFonts w:eastAsiaTheme="minorEastAsia"/>
          <w:color w:val="000000" w:themeColor="text1"/>
          <w:kern w:val="24"/>
        </w:rPr>
        <w:t>, ggf. mit vergleichender Gegenüberstellung</w:t>
      </w:r>
    </w:p>
    <w:bookmarkEnd w:id="0"/>
    <w:p w14:paraId="20A11E45" w14:textId="77777777" w:rsidR="00817BA5" w:rsidRPr="009C5815" w:rsidRDefault="00817BA5" w:rsidP="00240B11">
      <w:pPr>
        <w:pStyle w:val="Listenabsatz"/>
        <w:numPr>
          <w:ilvl w:val="0"/>
          <w:numId w:val="10"/>
        </w:numPr>
        <w:jc w:val="both"/>
      </w:pPr>
      <w:r w:rsidRPr="009C5815">
        <w:rPr>
          <w:rFonts w:eastAsiaTheme="minorEastAsia"/>
          <w:b/>
          <w:bCs/>
          <w:color w:val="000000" w:themeColor="text1"/>
          <w:kern w:val="24"/>
        </w:rPr>
        <w:t>Hinweise:</w:t>
      </w:r>
      <w:r w:rsidRPr="009C5815">
        <w:rPr>
          <w:rFonts w:eastAsiaTheme="minorEastAsia"/>
          <w:color w:val="000000" w:themeColor="text1"/>
          <w:kern w:val="24"/>
        </w:rPr>
        <w:t xml:space="preserve"> </w:t>
      </w:r>
    </w:p>
    <w:p w14:paraId="6013006D" w14:textId="6E04CCC1" w:rsidR="00817BA5" w:rsidRPr="009C5815" w:rsidRDefault="00817BA5" w:rsidP="004260AC">
      <w:pPr>
        <w:pStyle w:val="Listenabsatz"/>
        <w:numPr>
          <w:ilvl w:val="0"/>
          <w:numId w:val="12"/>
        </w:numPr>
        <w:ind w:left="1080"/>
        <w:jc w:val="both"/>
      </w:pPr>
      <w:r w:rsidRPr="009C5815">
        <w:rPr>
          <w:rFonts w:eastAsiaTheme="minorEastAsia"/>
          <w:color w:val="000000" w:themeColor="text1"/>
          <w:kern w:val="24"/>
        </w:rPr>
        <w:t xml:space="preserve">Die </w:t>
      </w:r>
      <w:r w:rsidRPr="009C5815">
        <w:rPr>
          <w:rFonts w:eastAsiaTheme="minorEastAsia"/>
          <w:b/>
          <w:bCs/>
          <w:color w:val="000000" w:themeColor="text1"/>
          <w:kern w:val="24"/>
        </w:rPr>
        <w:t>Analyse eines Werbespots</w:t>
      </w:r>
      <w:r w:rsidRPr="009C5815">
        <w:rPr>
          <w:rFonts w:eastAsiaTheme="minorEastAsia"/>
          <w:color w:val="000000" w:themeColor="text1"/>
          <w:kern w:val="24"/>
        </w:rPr>
        <w:t xml:space="preserve"> ist erheblich aufwändiger als die Analyse von Printwerbung, da zunächst ein genaues gesprächsanalytisches Transkript unter Berücksichtigung aller audiovisuellen Elemente erstellt werden muss. Entsprechendes gilt für </w:t>
      </w:r>
      <w:r w:rsidRPr="009C5815">
        <w:rPr>
          <w:rFonts w:eastAsiaTheme="minorEastAsia"/>
          <w:b/>
          <w:bCs/>
          <w:color w:val="000000" w:themeColor="text1"/>
          <w:kern w:val="24"/>
        </w:rPr>
        <w:t>multimediale Online-Werbung</w:t>
      </w:r>
      <w:r w:rsidRPr="009C5815">
        <w:rPr>
          <w:rFonts w:eastAsiaTheme="minorEastAsia"/>
          <w:color w:val="000000" w:themeColor="text1"/>
          <w:kern w:val="24"/>
        </w:rPr>
        <w:t xml:space="preserve">. (zur exemplarischen Analyse eines Werbespots vgl. </w:t>
      </w:r>
      <w:proofErr w:type="spellStart"/>
      <w:r w:rsidRPr="009C5815">
        <w:rPr>
          <w:rFonts w:eastAsiaTheme="minorEastAsia"/>
          <w:color w:val="000000" w:themeColor="text1"/>
          <w:kern w:val="24"/>
        </w:rPr>
        <w:t>Polajnar</w:t>
      </w:r>
      <w:proofErr w:type="spellEnd"/>
      <w:r w:rsidRPr="009C5815">
        <w:rPr>
          <w:rFonts w:eastAsiaTheme="minorEastAsia"/>
          <w:color w:val="000000" w:themeColor="text1"/>
          <w:kern w:val="24"/>
        </w:rPr>
        <w:t xml:space="preserve">, „Werbekommunikation gesprächsanalytisch“, S. 150-155; zur Internet-Werbung vgl. </w:t>
      </w:r>
      <w:proofErr w:type="spellStart"/>
      <w:r w:rsidRPr="009C5815">
        <w:rPr>
          <w:rFonts w:eastAsiaTheme="minorEastAsia"/>
          <w:color w:val="000000" w:themeColor="text1"/>
          <w:kern w:val="24"/>
        </w:rPr>
        <w:t>Runkehl</w:t>
      </w:r>
      <w:proofErr w:type="spellEnd"/>
      <w:r w:rsidRPr="009C5815">
        <w:rPr>
          <w:rFonts w:eastAsiaTheme="minorEastAsia"/>
          <w:color w:val="000000" w:themeColor="text1"/>
          <w:kern w:val="24"/>
        </w:rPr>
        <w:t>, „Mikrokosmos Internetformate“, S. 103-109)</w:t>
      </w:r>
    </w:p>
    <w:p w14:paraId="54043AC0" w14:textId="18FE41A0" w:rsidR="00817BA5" w:rsidRPr="009C5815" w:rsidRDefault="00817BA5" w:rsidP="004260AC">
      <w:pPr>
        <w:pStyle w:val="Listenabsatz"/>
        <w:numPr>
          <w:ilvl w:val="0"/>
          <w:numId w:val="12"/>
        </w:numPr>
        <w:ind w:left="1080"/>
        <w:jc w:val="both"/>
      </w:pPr>
      <w:r w:rsidRPr="009C5815">
        <w:rPr>
          <w:rFonts w:eastAsiaTheme="minorEastAsia"/>
          <w:color w:val="000000" w:themeColor="text1"/>
          <w:kern w:val="24"/>
        </w:rPr>
        <w:t>Allgemeine</w:t>
      </w:r>
      <w:r w:rsidRPr="009C5815">
        <w:rPr>
          <w:rFonts w:eastAsiaTheme="minorEastAsia"/>
          <w:b/>
          <w:bCs/>
          <w:color w:val="000000" w:themeColor="text1"/>
          <w:kern w:val="24"/>
        </w:rPr>
        <w:t xml:space="preserve"> Aussagen</w:t>
      </w:r>
      <w:r w:rsidRPr="009C5815">
        <w:rPr>
          <w:rFonts w:eastAsiaTheme="minorEastAsia"/>
          <w:color w:val="000000" w:themeColor="text1"/>
          <w:kern w:val="24"/>
        </w:rPr>
        <w:t xml:space="preserve"> </w:t>
      </w:r>
      <w:r w:rsidRPr="009C5815">
        <w:rPr>
          <w:rFonts w:eastAsiaTheme="minorEastAsia"/>
          <w:b/>
          <w:bCs/>
          <w:color w:val="000000" w:themeColor="text1"/>
          <w:kern w:val="24"/>
        </w:rPr>
        <w:t>über Tendenzen der Werbesprache</w:t>
      </w:r>
      <w:r w:rsidRPr="009C5815">
        <w:rPr>
          <w:rFonts w:eastAsiaTheme="minorEastAsia"/>
          <w:color w:val="000000" w:themeColor="text1"/>
          <w:kern w:val="24"/>
        </w:rPr>
        <w:t xml:space="preserve"> sind </w:t>
      </w:r>
      <w:r w:rsidRPr="009C5815">
        <w:rPr>
          <w:rFonts w:eastAsiaTheme="minorEastAsia"/>
          <w:b/>
          <w:bCs/>
          <w:color w:val="000000" w:themeColor="text1"/>
          <w:kern w:val="24"/>
        </w:rPr>
        <w:t>problematisch</w:t>
      </w:r>
      <w:r w:rsidRPr="009C5815">
        <w:rPr>
          <w:rFonts w:eastAsiaTheme="minorEastAsia"/>
          <w:color w:val="000000" w:themeColor="text1"/>
          <w:kern w:val="24"/>
        </w:rPr>
        <w:t xml:space="preserve">, selbst die Aussagekraft statistischer Aussagen muss abhängig von der Fragestellung geprüft werden (Daher sind derartige Untersuchungen im Rahmen der schriftlichen Hausarbeit </w:t>
      </w:r>
      <w:r w:rsidR="00F851BF">
        <w:rPr>
          <w:rFonts w:eastAsiaTheme="minorEastAsia"/>
          <w:color w:val="000000" w:themeColor="text1"/>
          <w:kern w:val="24"/>
        </w:rPr>
        <w:t>nur dann realistisch, wenn bereits ein fertiges, für das gewählte Thema verwendbares Korpus vorliegt.</w:t>
      </w:r>
      <w:r w:rsidRPr="009C5815">
        <w:rPr>
          <w:rFonts w:eastAsiaTheme="minorEastAsia"/>
          <w:color w:val="000000" w:themeColor="text1"/>
          <w:kern w:val="24"/>
        </w:rPr>
        <w:t>)</w:t>
      </w:r>
    </w:p>
    <w:p w14:paraId="414EB9D5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043BF14E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0AA4F769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75B421DA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1A839691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45340195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772D80D9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27B50F3A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6815EA6D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2BCF46F1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15B12E0A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493FFBD7" w14:textId="77777777" w:rsidR="00240B11" w:rsidRDefault="00240B11" w:rsidP="00817BA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30C3A886" w14:textId="77777777" w:rsidR="00240B11" w:rsidRDefault="00240B11" w:rsidP="004260A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</w:pPr>
    </w:p>
    <w:p w14:paraId="6EDE34CE" w14:textId="77777777" w:rsidR="00817BA5" w:rsidRPr="00817BA5" w:rsidRDefault="00817BA5" w:rsidP="004260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817BA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de-DE"/>
        </w:rPr>
        <w:t xml:space="preserve">Literaturhinweise: </w:t>
      </w:r>
    </w:p>
    <w:p w14:paraId="5D9CAA89" w14:textId="77777777" w:rsidR="00817BA5" w:rsidRPr="00817BA5" w:rsidRDefault="00817BA5" w:rsidP="0081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7BA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Janich, Nina, </w:t>
      </w:r>
      <w:r w:rsidRPr="00817BA5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>Werbesprache</w:t>
      </w:r>
      <w:r w:rsidRPr="00817BA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>.</w:t>
      </w:r>
      <w:r w:rsidRPr="00817BA5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 Ein Arbeitsbuch. </w:t>
      </w:r>
      <w:r w:rsidRPr="00817BA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Tübingen: Narr Francke Attempto, 2013 [2001]. </w:t>
      </w:r>
    </w:p>
    <w:p w14:paraId="5E473298" w14:textId="3BB76554" w:rsidR="00817BA5" w:rsidRDefault="00817BA5" w:rsidP="00480182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</w:pPr>
      <w:r w:rsidRPr="00817BA5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 xml:space="preserve">Darin: </w:t>
      </w:r>
      <w:proofErr w:type="spellStart"/>
      <w:r w:rsidRPr="00817B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Runkehl</w:t>
      </w:r>
      <w:proofErr w:type="spellEnd"/>
      <w:r w:rsidRPr="00817B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Jens: „Mikrokosmos Internet-Formate“ (S. 95-109).</w:t>
      </w:r>
    </w:p>
    <w:p w14:paraId="5F75DB7C" w14:textId="77777777" w:rsidR="00480182" w:rsidRPr="00895CB3" w:rsidRDefault="00480182" w:rsidP="00480182">
      <w:pPr>
        <w:spacing w:after="120"/>
        <w:ind w:left="567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95CB3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  <w:lang w:eastAsia="de-DE"/>
        </w:rPr>
        <w:t>Aufgaben und Lösungsvorschläge online verfügbar:</w:t>
      </w:r>
      <w:r w:rsidRPr="00895CB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95CB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de-DE"/>
        </w:rPr>
        <w:t xml:space="preserve">Janich, Nina, </w:t>
      </w:r>
      <w:r w:rsidRPr="00895CB3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de-DE"/>
        </w:rPr>
        <w:t>Werbesprache</w:t>
      </w:r>
      <w:r w:rsidRPr="00895CB3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de-DE"/>
        </w:rPr>
        <w:t>.</w:t>
      </w:r>
      <w:r w:rsidRPr="00895CB3">
        <w:rPr>
          <w:rFonts w:ascii="Times New Roman" w:eastAsiaTheme="minorEastAsia" w:hAnsi="Times New Roman" w:cs="Times New Roman"/>
          <w:bCs/>
          <w:i/>
          <w:iCs/>
          <w:kern w:val="24"/>
          <w:sz w:val="24"/>
          <w:szCs w:val="24"/>
          <w:lang w:eastAsia="de-DE"/>
        </w:rPr>
        <w:t xml:space="preserve"> Ein Arbeitsbuch. Fragen und Lösungsvorschläge zur 5. Auflage 2010, </w:t>
      </w:r>
      <w:hyperlink r:id="rId8" w:history="1">
        <w:r w:rsidRPr="00895C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© Narr Francke Attempto Verlag GmbH + Co. KG</w:t>
        </w:r>
      </w:hyperlink>
      <w:r w:rsidRPr="00895C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via </w:t>
      </w:r>
      <w:hyperlink r:id="rId9" w:history="1">
        <w:r w:rsidRPr="00895C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narr.de</w:t>
        </w:r>
      </w:hyperlink>
      <w:r w:rsidRPr="00895C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895CB3">
        <w:rPr>
          <w:rFonts w:ascii="Times New Roman" w:hAnsi="Times New Roman" w:cs="Times New Roman"/>
          <w:sz w:val="24"/>
          <w:szCs w:val="24"/>
        </w:rPr>
        <w:t>(zuletzt aufgerufen am 29.08.2020).</w:t>
      </w:r>
    </w:p>
    <w:p w14:paraId="6C6CCF7A" w14:textId="77777777" w:rsidR="00817BA5" w:rsidRPr="00817BA5" w:rsidRDefault="00817BA5" w:rsidP="0081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7BA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Janich, Nina (Hrsg.): </w:t>
      </w:r>
      <w:r w:rsidRPr="00817BA5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  <w:lang w:eastAsia="de-DE"/>
        </w:rPr>
        <w:t xml:space="preserve">Handbuch Werbekommunikation. Sprachwissenschaftliche und interdisziplinäre Zugänge. </w:t>
      </w:r>
      <w:r w:rsidRPr="00817BA5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de-DE"/>
        </w:rPr>
        <w:t xml:space="preserve">Tübingen: Narr Francke Attempto, 2012. </w:t>
      </w:r>
    </w:p>
    <w:p w14:paraId="2560687E" w14:textId="77777777" w:rsidR="00817BA5" w:rsidRPr="009C5815" w:rsidRDefault="00817BA5" w:rsidP="001C584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7BA5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eastAsia="de-DE"/>
        </w:rPr>
        <w:t xml:space="preserve">Darin: </w:t>
      </w:r>
      <w:proofErr w:type="spellStart"/>
      <w:r w:rsidRPr="00817B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Polajnar</w:t>
      </w:r>
      <w:proofErr w:type="spellEnd"/>
      <w:r w:rsidRPr="00817B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 xml:space="preserve"> </w:t>
      </w:r>
      <w:proofErr w:type="spellStart"/>
      <w:r w:rsidRPr="00817B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Lenarčič</w:t>
      </w:r>
      <w:proofErr w:type="spellEnd"/>
      <w:r w:rsidRPr="00817BA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de-DE"/>
        </w:rPr>
        <w:t>, Janja: „Werbekommunikation gesprächsanalytisch“ (S. 143-158).</w:t>
      </w:r>
    </w:p>
    <w:sectPr w:rsidR="00817BA5" w:rsidRPr="009C5815" w:rsidSect="00817BA5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85F0A" w14:textId="77777777" w:rsidR="00CC2381" w:rsidRDefault="00CC2381" w:rsidP="00A57060">
      <w:pPr>
        <w:spacing w:after="0" w:line="240" w:lineRule="auto"/>
      </w:pPr>
      <w:r>
        <w:separator/>
      </w:r>
    </w:p>
  </w:endnote>
  <w:endnote w:type="continuationSeparator" w:id="0">
    <w:p w14:paraId="5F71C394" w14:textId="77777777" w:rsidR="00CC2381" w:rsidRDefault="00CC2381" w:rsidP="00A5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894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FA92BC" w14:textId="224393C5" w:rsidR="00A66DCC" w:rsidRPr="00A66DCC" w:rsidRDefault="00A66DCC">
        <w:pPr>
          <w:pStyle w:val="Fuzeile"/>
          <w:jc w:val="center"/>
          <w:rPr>
            <w:rFonts w:ascii="Times New Roman" w:hAnsi="Times New Roman" w:cs="Times New Roman"/>
          </w:rPr>
        </w:pPr>
        <w:r w:rsidRPr="00A66DCC">
          <w:rPr>
            <w:rFonts w:ascii="Times New Roman" w:hAnsi="Times New Roman" w:cs="Times New Roman"/>
          </w:rPr>
          <w:fldChar w:fldCharType="begin"/>
        </w:r>
        <w:r w:rsidRPr="00A66DCC">
          <w:rPr>
            <w:rFonts w:ascii="Times New Roman" w:hAnsi="Times New Roman" w:cs="Times New Roman"/>
          </w:rPr>
          <w:instrText>PAGE   \* MERGEFORMAT</w:instrText>
        </w:r>
        <w:r w:rsidRPr="00A66DCC">
          <w:rPr>
            <w:rFonts w:ascii="Times New Roman" w:hAnsi="Times New Roman" w:cs="Times New Roman"/>
          </w:rPr>
          <w:fldChar w:fldCharType="separate"/>
        </w:r>
        <w:r w:rsidRPr="00A66DCC">
          <w:rPr>
            <w:rFonts w:ascii="Times New Roman" w:hAnsi="Times New Roman" w:cs="Times New Roman"/>
          </w:rPr>
          <w:t>2</w:t>
        </w:r>
        <w:r w:rsidRPr="00A66DCC">
          <w:rPr>
            <w:rFonts w:ascii="Times New Roman" w:hAnsi="Times New Roman" w:cs="Times New Roman"/>
          </w:rPr>
          <w:fldChar w:fldCharType="end"/>
        </w:r>
      </w:p>
    </w:sdtContent>
  </w:sdt>
  <w:p w14:paraId="59BAB546" w14:textId="77777777" w:rsidR="00DE54B2" w:rsidRPr="00A66DCC" w:rsidRDefault="00DE54B2">
    <w:pPr>
      <w:pStyle w:val="Fuzeil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88D67" w14:textId="77777777" w:rsidR="00CC2381" w:rsidRDefault="00CC2381" w:rsidP="00A57060">
      <w:pPr>
        <w:spacing w:after="0" w:line="240" w:lineRule="auto"/>
      </w:pPr>
      <w:r>
        <w:separator/>
      </w:r>
    </w:p>
  </w:footnote>
  <w:footnote w:type="continuationSeparator" w:id="0">
    <w:p w14:paraId="59FC160A" w14:textId="77777777" w:rsidR="00CC2381" w:rsidRDefault="00CC2381" w:rsidP="00A5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46FD" w14:textId="384ADC42" w:rsidR="00A57060" w:rsidRPr="00142929" w:rsidRDefault="00142929" w:rsidP="00A72091">
    <w:pPr>
      <w:tabs>
        <w:tab w:val="center" w:pos="4536"/>
        <w:tab w:val="right" w:pos="9072"/>
      </w:tabs>
      <w:spacing w:after="0"/>
      <w:jc w:val="center"/>
    </w:pPr>
    <w:r>
      <w:rPr>
        <w:rFonts w:ascii="Times New Roman" w:hAnsi="Times New Roman" w:cs="Times New Roman"/>
        <w:sz w:val="20"/>
        <w:szCs w:val="16"/>
      </w:rPr>
      <w:t>ZPG Vertiefungskurs Sprache – Weber: Überblick zur linguistischen Analyse von Werbesprache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26045"/>
    <w:multiLevelType w:val="hybridMultilevel"/>
    <w:tmpl w:val="E2AC682E"/>
    <w:lvl w:ilvl="0" w:tplc="2F5A1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4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4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47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2F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2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A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28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21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9A176A"/>
    <w:multiLevelType w:val="hybridMultilevel"/>
    <w:tmpl w:val="89B0ADA4"/>
    <w:lvl w:ilvl="0" w:tplc="C980D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20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85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66E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29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63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6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61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2A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1308C1"/>
    <w:multiLevelType w:val="hybridMultilevel"/>
    <w:tmpl w:val="0CEC0612"/>
    <w:lvl w:ilvl="0" w:tplc="2BDCF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0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82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40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C7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E6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4C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87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27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1E6243"/>
    <w:multiLevelType w:val="hybridMultilevel"/>
    <w:tmpl w:val="D9DA437C"/>
    <w:lvl w:ilvl="0" w:tplc="792AD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C5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D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08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03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60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4E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04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46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881567"/>
    <w:multiLevelType w:val="hybridMultilevel"/>
    <w:tmpl w:val="A14A4396"/>
    <w:lvl w:ilvl="0" w:tplc="47422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D0A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E1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0F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E2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20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8E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C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2F52E3"/>
    <w:multiLevelType w:val="hybridMultilevel"/>
    <w:tmpl w:val="73C4C9C2"/>
    <w:lvl w:ilvl="0" w:tplc="BD36326A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E48CC"/>
    <w:multiLevelType w:val="hybridMultilevel"/>
    <w:tmpl w:val="1EB2D2FE"/>
    <w:lvl w:ilvl="0" w:tplc="001CA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C6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CB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02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2E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CA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43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04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CA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405BE1"/>
    <w:multiLevelType w:val="hybridMultilevel"/>
    <w:tmpl w:val="37BA4E0C"/>
    <w:lvl w:ilvl="0" w:tplc="9A6A7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0E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CF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6F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ED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20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67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4F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67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7D4251"/>
    <w:multiLevelType w:val="hybridMultilevel"/>
    <w:tmpl w:val="D61C8F6A"/>
    <w:lvl w:ilvl="0" w:tplc="79B6C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AA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B26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47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8C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EB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4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41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F4757B"/>
    <w:multiLevelType w:val="hybridMultilevel"/>
    <w:tmpl w:val="9F203E3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2C65F0"/>
    <w:multiLevelType w:val="hybridMultilevel"/>
    <w:tmpl w:val="D5721428"/>
    <w:lvl w:ilvl="0" w:tplc="B5AC1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2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6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A7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04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3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66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08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0A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A520ED5"/>
    <w:multiLevelType w:val="hybridMultilevel"/>
    <w:tmpl w:val="BB4255DA"/>
    <w:lvl w:ilvl="0" w:tplc="0AF22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AC2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B2B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EB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2A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4E7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AD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28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AE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709A8"/>
    <w:multiLevelType w:val="hybridMultilevel"/>
    <w:tmpl w:val="329C0ACA"/>
    <w:lvl w:ilvl="0" w:tplc="5B80D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63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6E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0A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612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A1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BAA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02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47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060"/>
    <w:rsid w:val="00055A6F"/>
    <w:rsid w:val="00142929"/>
    <w:rsid w:val="001C584F"/>
    <w:rsid w:val="00240B11"/>
    <w:rsid w:val="002E39DA"/>
    <w:rsid w:val="004260AC"/>
    <w:rsid w:val="00480182"/>
    <w:rsid w:val="00542AC6"/>
    <w:rsid w:val="006127BD"/>
    <w:rsid w:val="006403CD"/>
    <w:rsid w:val="006D7E2A"/>
    <w:rsid w:val="00773B4F"/>
    <w:rsid w:val="00817BA5"/>
    <w:rsid w:val="008C0DCB"/>
    <w:rsid w:val="0094112B"/>
    <w:rsid w:val="009C5815"/>
    <w:rsid w:val="00A57060"/>
    <w:rsid w:val="00A66DCC"/>
    <w:rsid w:val="00A72091"/>
    <w:rsid w:val="00C73DD0"/>
    <w:rsid w:val="00CC2381"/>
    <w:rsid w:val="00DB7364"/>
    <w:rsid w:val="00DE54B2"/>
    <w:rsid w:val="00E25162"/>
    <w:rsid w:val="00F851BF"/>
    <w:rsid w:val="00F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0692E"/>
  <w15:docId w15:val="{497068FC-B37C-444D-8A3B-C53B70F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060"/>
  </w:style>
  <w:style w:type="paragraph" w:styleId="Fuzeile">
    <w:name w:val="footer"/>
    <w:basedOn w:val="Standard"/>
    <w:link w:val="FuzeileZchn"/>
    <w:uiPriority w:val="99"/>
    <w:unhideWhenUsed/>
    <w:rsid w:val="00A5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0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0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7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81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E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80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0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097">
          <w:marLeft w:val="158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463">
          <w:marLeft w:val="158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391">
          <w:marLeft w:val="158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020">
          <w:marLeft w:val="13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346">
          <w:marLeft w:val="13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01">
          <w:marLeft w:val="130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6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1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664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8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r.de/impressu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ta.narr.de/9783823368182/loesungsvorschlaege_janich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8CA2-1EA8-4BD8-8C3B-386110F9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Weber</cp:lastModifiedBy>
  <cp:revision>13</cp:revision>
  <dcterms:created xsi:type="dcterms:W3CDTF">2019-11-07T15:18:00Z</dcterms:created>
  <dcterms:modified xsi:type="dcterms:W3CDTF">2020-09-07T11:09:00Z</dcterms:modified>
</cp:coreProperties>
</file>