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4CA08" w14:textId="77777777" w:rsidR="006127BD" w:rsidRPr="00A11E78" w:rsidRDefault="005E0DB2" w:rsidP="003E0D9F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A11E78">
        <w:rPr>
          <w:rFonts w:ascii="Times New Roman" w:hAnsi="Times New Roman" w:cs="Times New Roman"/>
          <w:b/>
          <w:sz w:val="40"/>
        </w:rPr>
        <w:t>Politolinguistik</w:t>
      </w:r>
    </w:p>
    <w:p w14:paraId="49A75100" w14:textId="77777777" w:rsidR="005E0DB2" w:rsidRPr="00A11E78" w:rsidRDefault="005E0DB2" w:rsidP="003E0D9F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11E78">
        <w:rPr>
          <w:rFonts w:ascii="Times New Roman" w:hAnsi="Times New Roman" w:cs="Times New Roman"/>
          <w:b/>
          <w:sz w:val="36"/>
        </w:rPr>
        <w:t>Grundlegendes</w:t>
      </w:r>
    </w:p>
    <w:p w14:paraId="32DB3A67" w14:textId="77777777" w:rsidR="005E0DB2" w:rsidRPr="00A11E78" w:rsidRDefault="005E0DB2" w:rsidP="003E0D9F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  <w:jc w:val="both"/>
      </w:pPr>
      <w:r w:rsidRPr="00A11E78">
        <w:rPr>
          <w:rFonts w:eastAsiaTheme="minorEastAsia"/>
          <w:b/>
          <w:bCs/>
          <w:color w:val="000000" w:themeColor="text1"/>
          <w:kern w:val="24"/>
        </w:rPr>
        <w:t>Gegenstandsbereiche der Politolinguistik</w:t>
      </w:r>
      <w:r w:rsidRPr="00A11E78">
        <w:rPr>
          <w:rFonts w:eastAsiaTheme="minorEastAsia"/>
          <w:color w:val="000000" w:themeColor="text1"/>
          <w:kern w:val="24"/>
        </w:rPr>
        <w:t>:</w:t>
      </w:r>
      <w:r w:rsidRPr="002D598A">
        <w:rPr>
          <w:rFonts w:eastAsiaTheme="minorEastAsia"/>
          <w:color w:val="000000" w:themeColor="text1"/>
          <w:kern w:val="24"/>
        </w:rPr>
        <w:t xml:space="preserve"> </w:t>
      </w:r>
      <w:r w:rsidRPr="00A11E78">
        <w:rPr>
          <w:rFonts w:eastAsiaTheme="minorEastAsia"/>
          <w:color w:val="000000" w:themeColor="text1"/>
          <w:kern w:val="24"/>
        </w:rPr>
        <w:t xml:space="preserve">nicht nur der Sprachgebrauch der Politiker, sondern auch Sprechen über Politik und politische Mediensprache (vgl. Niehr, </w:t>
      </w:r>
      <w:r w:rsidRPr="00A11E78">
        <w:rPr>
          <w:rFonts w:eastAsiaTheme="minorEastAsia"/>
          <w:i/>
          <w:iCs/>
          <w:color w:val="000000" w:themeColor="text1"/>
          <w:kern w:val="24"/>
        </w:rPr>
        <w:t>Politolinguistik</w:t>
      </w:r>
      <w:r w:rsidRPr="00A11E78">
        <w:rPr>
          <w:rFonts w:eastAsiaTheme="minorEastAsia"/>
          <w:color w:val="000000" w:themeColor="text1"/>
          <w:kern w:val="24"/>
        </w:rPr>
        <w:t>, S. 16-17)</w:t>
      </w:r>
    </w:p>
    <w:p w14:paraId="1F5C4D3F" w14:textId="77777777" w:rsidR="005E0DB2" w:rsidRPr="00A11E78" w:rsidRDefault="005E0DB2" w:rsidP="003E0D9F">
      <w:pPr>
        <w:pStyle w:val="Listenabsatz"/>
        <w:numPr>
          <w:ilvl w:val="0"/>
          <w:numId w:val="1"/>
        </w:numPr>
        <w:ind w:left="360"/>
        <w:jc w:val="both"/>
      </w:pPr>
      <w:r w:rsidRPr="00A11E78">
        <w:rPr>
          <w:rFonts w:eastAsiaTheme="minorEastAsia"/>
          <w:b/>
          <w:bCs/>
          <w:color w:val="000000" w:themeColor="text1"/>
          <w:kern w:val="24"/>
        </w:rPr>
        <w:t>Funktionen politischer Sprache</w:t>
      </w:r>
      <w:r w:rsidRPr="00A11E78">
        <w:rPr>
          <w:rFonts w:eastAsiaTheme="minorEastAsia"/>
          <w:color w:val="000000" w:themeColor="text1"/>
          <w:kern w:val="24"/>
        </w:rPr>
        <w:t xml:space="preserve">: Dominanz der Appellfunktion gegenüber der Darstellungs- und Ausdrucksfunktion (siehe Karl Bühlers Organon-Modell)  </w:t>
      </w:r>
    </w:p>
    <w:p w14:paraId="330C3CD5" w14:textId="77777777" w:rsidR="005E0DB2" w:rsidRPr="00A11E78" w:rsidRDefault="005E0DB2" w:rsidP="003E0D9F">
      <w:pPr>
        <w:pStyle w:val="StandardWeb"/>
        <w:spacing w:before="0" w:beforeAutospacing="0" w:after="120" w:afterAutospacing="0"/>
        <w:ind w:left="709" w:hanging="312"/>
        <w:jc w:val="both"/>
      </w:pPr>
      <w:r w:rsidRPr="00A11E78">
        <w:rPr>
          <w:rFonts w:eastAsiaTheme="minorEastAsia"/>
          <w:color w:val="000000" w:themeColor="text1"/>
          <w:kern w:val="24"/>
        </w:rPr>
        <w:t xml:space="preserve">→ in politischer Argumentation häufige Behauptung: Darstellungsfunktion sei der zentrale Zweck der Sprache (vgl. Niehr, </w:t>
      </w:r>
      <w:r w:rsidRPr="00A11E78">
        <w:rPr>
          <w:rFonts w:eastAsiaTheme="minorEastAsia"/>
          <w:i/>
          <w:iCs/>
          <w:color w:val="000000" w:themeColor="text1"/>
          <w:kern w:val="24"/>
        </w:rPr>
        <w:t>Politolinguistik</w:t>
      </w:r>
      <w:r w:rsidRPr="00A11E78">
        <w:rPr>
          <w:rFonts w:eastAsiaTheme="minorEastAsia"/>
          <w:color w:val="000000" w:themeColor="text1"/>
          <w:kern w:val="24"/>
        </w:rPr>
        <w:t>, S. 18)</w:t>
      </w:r>
    </w:p>
    <w:p w14:paraId="77869423" w14:textId="77777777" w:rsidR="005E0DB2" w:rsidRPr="00A11E78" w:rsidRDefault="005E0DB2" w:rsidP="003E0D9F">
      <w:pPr>
        <w:pStyle w:val="Listenabsatz"/>
        <w:numPr>
          <w:ilvl w:val="0"/>
          <w:numId w:val="2"/>
        </w:numPr>
        <w:spacing w:after="360"/>
        <w:ind w:left="360"/>
        <w:jc w:val="both"/>
      </w:pPr>
      <w:r w:rsidRPr="00A11E78">
        <w:rPr>
          <w:rFonts w:eastAsiaTheme="minorEastAsia"/>
          <w:b/>
          <w:bCs/>
          <w:color w:val="000000" w:themeColor="text1"/>
          <w:kern w:val="24"/>
        </w:rPr>
        <w:t>Abgrenzung zur Rhetorik</w:t>
      </w:r>
      <w:r w:rsidRPr="00A11E78">
        <w:rPr>
          <w:rFonts w:eastAsiaTheme="minorEastAsia"/>
          <w:color w:val="000000" w:themeColor="text1"/>
          <w:kern w:val="24"/>
        </w:rPr>
        <w:t xml:space="preserve">: Politolinguistik als Teil der deskriptiven Linguistik, die sprachliche Phänomene beschreibt und erklärt, hierbei jedoch keine Wertung vornimmt (vgl. Niehr, </w:t>
      </w:r>
      <w:r w:rsidRPr="00A11E78">
        <w:rPr>
          <w:rFonts w:eastAsiaTheme="minorEastAsia"/>
          <w:i/>
          <w:iCs/>
          <w:color w:val="000000" w:themeColor="text1"/>
          <w:kern w:val="24"/>
        </w:rPr>
        <w:t>Politolinguistik</w:t>
      </w:r>
      <w:r w:rsidRPr="00A11E78">
        <w:rPr>
          <w:rFonts w:eastAsiaTheme="minorEastAsia"/>
          <w:color w:val="000000" w:themeColor="text1"/>
          <w:kern w:val="24"/>
        </w:rPr>
        <w:t>, S. 18)</w:t>
      </w:r>
    </w:p>
    <w:p w14:paraId="00EDFDFA" w14:textId="77777777" w:rsidR="005E0DB2" w:rsidRPr="00A11E78" w:rsidRDefault="005E0DB2" w:rsidP="003E0D9F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11E78">
        <w:rPr>
          <w:rFonts w:ascii="Times New Roman" w:hAnsi="Times New Roman" w:cs="Times New Roman"/>
          <w:b/>
          <w:sz w:val="36"/>
          <w:szCs w:val="24"/>
        </w:rPr>
        <w:t>Methodik der politolinguistischen Analyse</w:t>
      </w:r>
    </w:p>
    <w:p w14:paraId="45350BA7" w14:textId="77777777" w:rsidR="005E0DB2" w:rsidRPr="00A11E78" w:rsidRDefault="005E0DB2" w:rsidP="003E0D9F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11E78">
        <w:rPr>
          <w:rFonts w:ascii="Times New Roman" w:hAnsi="Times New Roman" w:cs="Times New Roman"/>
          <w:b/>
          <w:sz w:val="32"/>
          <w:szCs w:val="24"/>
        </w:rPr>
        <w:t>Wortebene</w:t>
      </w:r>
    </w:p>
    <w:p w14:paraId="1F0CE97A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>Politischer Wortschatz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64-66)</w:t>
      </w:r>
    </w:p>
    <w:p w14:paraId="4D65AA29" w14:textId="0558CD14" w:rsidR="005E0DB2" w:rsidRPr="002C47A3" w:rsidRDefault="005E0DB2" w:rsidP="003E0D9F">
      <w:pPr>
        <w:pStyle w:val="Listenabsatz"/>
        <w:numPr>
          <w:ilvl w:val="0"/>
          <w:numId w:val="12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Institutionsvokabular (</w:t>
      </w:r>
      <w:r w:rsidR="00265D8A">
        <w:rPr>
          <w:rFonts w:eastAsiaTheme="minorEastAsia"/>
          <w:i/>
          <w:iCs/>
          <w:color w:val="000000" w:themeColor="text1"/>
          <w:kern w:val="24"/>
        </w:rPr>
        <w:t xml:space="preserve">präsidentielle </w:t>
      </w:r>
      <w:r w:rsidRPr="002C47A3">
        <w:rPr>
          <w:rFonts w:eastAsiaTheme="minorEastAsia"/>
          <w:i/>
          <w:iCs/>
          <w:color w:val="000000" w:themeColor="text1"/>
          <w:kern w:val="24"/>
        </w:rPr>
        <w:t>Demokratie</w:t>
      </w:r>
      <w:r w:rsidRPr="002C47A3">
        <w:rPr>
          <w:rFonts w:eastAsiaTheme="minorEastAsia"/>
          <w:color w:val="000000" w:themeColor="text1"/>
          <w:kern w:val="24"/>
        </w:rPr>
        <w:t xml:space="preserve">, </w:t>
      </w:r>
      <w:r w:rsidRPr="002C47A3">
        <w:rPr>
          <w:rFonts w:eastAsiaTheme="minorEastAsia"/>
          <w:i/>
          <w:iCs/>
          <w:color w:val="000000" w:themeColor="text1"/>
          <w:kern w:val="24"/>
        </w:rPr>
        <w:t>Ministerpräsident</w:t>
      </w:r>
      <w:r w:rsidRPr="002C47A3">
        <w:rPr>
          <w:rFonts w:eastAsiaTheme="minorEastAsia"/>
          <w:color w:val="000000" w:themeColor="text1"/>
          <w:kern w:val="24"/>
        </w:rPr>
        <w:t>)</w:t>
      </w:r>
    </w:p>
    <w:p w14:paraId="503DD39D" w14:textId="77777777" w:rsidR="005E0DB2" w:rsidRPr="002C47A3" w:rsidRDefault="005E0DB2" w:rsidP="003E0D9F">
      <w:pPr>
        <w:pStyle w:val="Listenabsatz"/>
        <w:numPr>
          <w:ilvl w:val="0"/>
          <w:numId w:val="12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Ressortvokabular (</w:t>
      </w:r>
      <w:r w:rsidRPr="002C47A3">
        <w:rPr>
          <w:rFonts w:eastAsiaTheme="minorEastAsia"/>
          <w:i/>
          <w:iCs/>
          <w:color w:val="000000" w:themeColor="text1"/>
          <w:kern w:val="24"/>
        </w:rPr>
        <w:t>Abwrackprämie</w:t>
      </w:r>
      <w:r w:rsidRPr="002C47A3">
        <w:rPr>
          <w:rFonts w:eastAsiaTheme="minorEastAsia"/>
          <w:color w:val="000000" w:themeColor="text1"/>
          <w:kern w:val="24"/>
        </w:rPr>
        <w:t xml:space="preserve">, </w:t>
      </w:r>
      <w:r w:rsidRPr="002C47A3">
        <w:rPr>
          <w:rFonts w:eastAsiaTheme="minorEastAsia"/>
          <w:i/>
          <w:iCs/>
          <w:color w:val="000000" w:themeColor="text1"/>
          <w:kern w:val="24"/>
        </w:rPr>
        <w:t>Hartz IV</w:t>
      </w:r>
      <w:r w:rsidRPr="002C47A3">
        <w:rPr>
          <w:rFonts w:eastAsiaTheme="minorEastAsia"/>
          <w:color w:val="000000" w:themeColor="text1"/>
          <w:kern w:val="24"/>
        </w:rPr>
        <w:t>)</w:t>
      </w:r>
    </w:p>
    <w:p w14:paraId="6EEC1D60" w14:textId="0FE43E82" w:rsidR="005E0DB2" w:rsidRPr="002C47A3" w:rsidRDefault="005E0DB2" w:rsidP="003E0D9F">
      <w:pPr>
        <w:pStyle w:val="Listenabsatz"/>
        <w:numPr>
          <w:ilvl w:val="0"/>
          <w:numId w:val="12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Ideologievokabular (</w:t>
      </w:r>
      <w:r w:rsidR="00265D8A">
        <w:rPr>
          <w:rFonts w:eastAsiaTheme="minorEastAsia"/>
          <w:i/>
          <w:iCs/>
          <w:color w:val="000000" w:themeColor="text1"/>
          <w:kern w:val="24"/>
        </w:rPr>
        <w:t>Menschenrechte</w:t>
      </w:r>
      <w:r w:rsidRPr="002C47A3">
        <w:rPr>
          <w:rFonts w:eastAsiaTheme="minorEastAsia"/>
          <w:color w:val="000000" w:themeColor="text1"/>
          <w:kern w:val="24"/>
        </w:rPr>
        <w:t xml:space="preserve">, </w:t>
      </w:r>
      <w:r w:rsidRPr="002C47A3">
        <w:rPr>
          <w:rFonts w:eastAsiaTheme="minorEastAsia"/>
          <w:i/>
          <w:iCs/>
          <w:color w:val="000000" w:themeColor="text1"/>
          <w:kern w:val="24"/>
        </w:rPr>
        <w:t>Terrorist</w:t>
      </w:r>
      <w:r w:rsidRPr="002C47A3">
        <w:rPr>
          <w:rFonts w:eastAsiaTheme="minorEastAsia"/>
          <w:color w:val="000000" w:themeColor="text1"/>
          <w:kern w:val="24"/>
        </w:rPr>
        <w:t xml:space="preserve"> vs. </w:t>
      </w:r>
      <w:r w:rsidRPr="002C47A3">
        <w:rPr>
          <w:rFonts w:eastAsiaTheme="minorEastAsia"/>
          <w:i/>
          <w:iCs/>
          <w:color w:val="000000" w:themeColor="text1"/>
          <w:kern w:val="24"/>
        </w:rPr>
        <w:t>Freiheitskämpfer</w:t>
      </w:r>
      <w:r w:rsidRPr="002C47A3">
        <w:rPr>
          <w:rFonts w:eastAsiaTheme="minorEastAsia"/>
          <w:color w:val="000000" w:themeColor="text1"/>
          <w:kern w:val="24"/>
        </w:rPr>
        <w:t>)</w:t>
      </w:r>
    </w:p>
    <w:p w14:paraId="732FE8ED" w14:textId="77777777" w:rsidR="005E0DB2" w:rsidRPr="002C47A3" w:rsidRDefault="005E0DB2" w:rsidP="003E0D9F">
      <w:pPr>
        <w:pStyle w:val="Listenabsatz"/>
        <w:numPr>
          <w:ilvl w:val="0"/>
          <w:numId w:val="12"/>
        </w:numPr>
        <w:spacing w:after="120"/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 xml:space="preserve">Allgemeines Interaktionsvokabular </w:t>
      </w:r>
    </w:p>
    <w:p w14:paraId="1007D273" w14:textId="348AEB4A" w:rsidR="005E0DB2" w:rsidRPr="005E0DB2" w:rsidRDefault="005E0DB2" w:rsidP="003E0D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 xml:space="preserve">Denotation – </w:t>
      </w:r>
      <w:r w:rsidR="00265D8A"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 xml:space="preserve">Konnotation – </w:t>
      </w: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>Deontik</w:t>
      </w: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 xml:space="preserve"> 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67-69)</w:t>
      </w:r>
    </w:p>
    <w:p w14:paraId="17212D1E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 xml:space="preserve">konnotative „Nebenbedeutungen“ </w:t>
      </w:r>
    </w:p>
    <w:p w14:paraId="6ECC993C" w14:textId="77777777" w:rsidR="005E0DB2" w:rsidRPr="005E0DB2" w:rsidRDefault="005E0DB2" w:rsidP="003E0D9F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Nicht definitorische, gegenstandsbezogene Merkmale, z. B.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Hund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: [treu]</w:t>
      </w:r>
    </w:p>
    <w:p w14:paraId="3A1F7B9F" w14:textId="77777777" w:rsidR="005E0DB2" w:rsidRPr="005E0DB2" w:rsidRDefault="005E0DB2" w:rsidP="003E0D9F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Evaluative Merkmale, z. B.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Arbeitslosigkeit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: [schlecht]</w:t>
      </w:r>
    </w:p>
    <w:p w14:paraId="64D66118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>Deontische Bedeutungsbestandteile</w:t>
      </w:r>
    </w:p>
    <w:p w14:paraId="0F57C9DC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(gr.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val="el-GR" w:eastAsia="de-DE"/>
        </w:rPr>
        <w:t>το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 xml:space="preserve">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val="el-GR" w:eastAsia="de-DE"/>
        </w:rPr>
        <w:t>δέον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: ‚das Nötige, das Schickliche, die Pflicht‘)</w:t>
      </w:r>
    </w:p>
    <w:p w14:paraId="35E7C53B" w14:textId="073041B3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→ </w:t>
      </w:r>
      <w:r w:rsidR="00265D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werden zusätzlich als Appell wahrgenommen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:</w:t>
      </w:r>
    </w:p>
    <w:p w14:paraId="178626C7" w14:textId="77777777" w:rsidR="005E0DB2" w:rsidRPr="005E0DB2" w:rsidRDefault="005E0DB2" w:rsidP="003E0D9F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Adjektive wie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lobenswert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(etwas Lobenswertes sollte gelobt werden)</w:t>
      </w:r>
    </w:p>
    <w:p w14:paraId="108A5891" w14:textId="77777777" w:rsidR="005E0DB2" w:rsidRPr="005E0DB2" w:rsidRDefault="005E0DB2" w:rsidP="003E0D9F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Einbahnstraße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(‚Straße, die nur in eine Richtung befahren werden darf‘)</w:t>
      </w:r>
    </w:p>
    <w:p w14:paraId="267475F7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>Schlagwörter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69-75)</w:t>
      </w:r>
    </w:p>
    <w:p w14:paraId="5CDE3C8D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Möglichst genaue Analyse der Bedeutungskomponenten der Verwendung bestimmter Ausdrücke erlaubt Rückschlüsse auf die zugrundeliegende Strategie der Sprecherin/des Sprechers</w:t>
      </w:r>
    </w:p>
    <w:p w14:paraId="54C5D36D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>Funktionen:</w:t>
      </w:r>
    </w:p>
    <w:p w14:paraId="444CCD25" w14:textId="77777777" w:rsidR="005E0DB2" w:rsidRPr="002C47A3" w:rsidRDefault="005E0DB2" w:rsidP="003E0D9F">
      <w:pPr>
        <w:pStyle w:val="Listenabsatz"/>
        <w:numPr>
          <w:ilvl w:val="0"/>
          <w:numId w:val="11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 xml:space="preserve">Emotionalisierung und Kontrolle: z. B. Ausblendung von Differenzierungen durch scheinbar plausible Gegensatzpaare wie im CDU-Slogan </w:t>
      </w:r>
      <w:r w:rsidRPr="002C47A3">
        <w:rPr>
          <w:rFonts w:eastAsiaTheme="minorEastAsia"/>
          <w:i/>
          <w:iCs/>
          <w:color w:val="000000" w:themeColor="text1"/>
          <w:kern w:val="24"/>
        </w:rPr>
        <w:t>Freiheit</w:t>
      </w:r>
      <w:r w:rsidRPr="002C47A3">
        <w:rPr>
          <w:rFonts w:eastAsiaTheme="minorEastAsia"/>
          <w:color w:val="000000" w:themeColor="text1"/>
          <w:kern w:val="24"/>
        </w:rPr>
        <w:t xml:space="preserve"> </w:t>
      </w:r>
      <w:r w:rsidRPr="002C47A3">
        <w:rPr>
          <w:rFonts w:eastAsiaTheme="minorEastAsia"/>
          <w:i/>
          <w:iCs/>
          <w:color w:val="000000" w:themeColor="text1"/>
          <w:kern w:val="24"/>
        </w:rPr>
        <w:t xml:space="preserve">statt Sozialismus </w:t>
      </w:r>
      <w:r w:rsidRPr="002C47A3">
        <w:rPr>
          <w:rFonts w:eastAsiaTheme="minorEastAsia"/>
          <w:color w:val="000000" w:themeColor="text1"/>
          <w:kern w:val="24"/>
        </w:rPr>
        <w:t>(1976)</w:t>
      </w:r>
    </w:p>
    <w:p w14:paraId="5166E865" w14:textId="77777777" w:rsidR="005E0DB2" w:rsidRPr="002C47A3" w:rsidRDefault="005E0DB2" w:rsidP="003E0D9F">
      <w:pPr>
        <w:pStyle w:val="Listenabsatz"/>
        <w:numPr>
          <w:ilvl w:val="0"/>
          <w:numId w:val="11"/>
        </w:numPr>
        <w:spacing w:after="120"/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Grob vereinfachende Darstellung komplizierter Sachverhalte</w:t>
      </w:r>
    </w:p>
    <w:p w14:paraId="73EE505E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>Frames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76-80)</w:t>
      </w:r>
    </w:p>
    <w:p w14:paraId="188E12A6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Strukturzusammenhänge bzw. Wissensstrukturen, die bei</w:t>
      </w:r>
      <w:r w:rsidR="00EE6DC8" w:rsidRPr="00A11E7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m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Verstehen von sprachlichen Ausdrücken aktiviert werden</w:t>
      </w:r>
    </w:p>
    <w:p w14:paraId="1D6E1E62" w14:textId="77777777" w:rsidR="005E0DB2" w:rsidRPr="005E0DB2" w:rsidRDefault="005E0DB2" w:rsidP="003E0D9F">
      <w:pPr>
        <w:spacing w:after="120" w:line="240" w:lineRule="auto"/>
        <w:ind w:left="936" w:hanging="936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Beispiel: Ist von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Entführung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die Rede, so erwartet man, etwas über Täter, Opfer und Forderung zu erfahren.</w:t>
      </w:r>
    </w:p>
    <w:p w14:paraId="2490524C" w14:textId="40A62967" w:rsidR="00A11E78" w:rsidRDefault="00A11E78" w:rsidP="003E0D9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</w:pPr>
    </w:p>
    <w:p w14:paraId="418F1A07" w14:textId="772FA723" w:rsidR="003E0D9F" w:rsidRDefault="003E0D9F">
      <w:pP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br w:type="page"/>
      </w:r>
    </w:p>
    <w:p w14:paraId="76D29220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lastRenderedPageBreak/>
        <w:t>Strategien im politischen Sprachgebrauch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80-87)</w:t>
      </w:r>
    </w:p>
    <w:p w14:paraId="073CD1EF" w14:textId="39E1194F" w:rsidR="005E0DB2" w:rsidRPr="002C47A3" w:rsidRDefault="005E0DB2" w:rsidP="003E0D9F">
      <w:pPr>
        <w:pStyle w:val="Listenabsatz"/>
        <w:numPr>
          <w:ilvl w:val="0"/>
          <w:numId w:val="10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Analyse des Umgangs mit den Grice</w:t>
      </w:r>
      <w:r w:rsidR="003E0D9F">
        <w:rPr>
          <w:rFonts w:eastAsiaTheme="minorEastAsia"/>
          <w:color w:val="000000" w:themeColor="text1"/>
          <w:kern w:val="24"/>
        </w:rPr>
        <w:t>’</w:t>
      </w:r>
      <w:r w:rsidRPr="002C47A3">
        <w:rPr>
          <w:rFonts w:eastAsiaTheme="minorEastAsia"/>
          <w:color w:val="000000" w:themeColor="text1"/>
          <w:kern w:val="24"/>
        </w:rPr>
        <w:t xml:space="preserve">schen </w:t>
      </w:r>
      <w:r w:rsidRPr="002C47A3">
        <w:rPr>
          <w:rFonts w:eastAsiaTheme="minorEastAsia"/>
          <w:b/>
          <w:color w:val="000000" w:themeColor="text1"/>
          <w:kern w:val="24"/>
        </w:rPr>
        <w:t>Konversationsmaximen und Implikaturanalyse</w:t>
      </w:r>
      <w:r w:rsidRPr="002C47A3">
        <w:rPr>
          <w:rFonts w:eastAsiaTheme="minorEastAsia"/>
          <w:color w:val="000000" w:themeColor="text1"/>
          <w:kern w:val="24"/>
        </w:rPr>
        <w:t xml:space="preserve"> (siehe auch Liedtke, </w:t>
      </w:r>
      <w:r w:rsidRPr="002C47A3">
        <w:rPr>
          <w:rFonts w:eastAsiaTheme="minorEastAsia"/>
          <w:i/>
          <w:iCs/>
          <w:color w:val="000000" w:themeColor="text1"/>
          <w:kern w:val="24"/>
        </w:rPr>
        <w:t>Moderne Pragmatik</w:t>
      </w:r>
      <w:r w:rsidRPr="002C47A3">
        <w:rPr>
          <w:rFonts w:eastAsiaTheme="minorEastAsia"/>
          <w:color w:val="000000" w:themeColor="text1"/>
          <w:kern w:val="24"/>
        </w:rPr>
        <w:t>, S. 215-217; Hagemann, „Implikaturanalyse“)</w:t>
      </w:r>
    </w:p>
    <w:p w14:paraId="434E7E7D" w14:textId="77777777" w:rsidR="005E0DB2" w:rsidRPr="002C47A3" w:rsidRDefault="005E0DB2" w:rsidP="003E0D9F">
      <w:pPr>
        <w:pStyle w:val="Listenabsatz"/>
        <w:numPr>
          <w:ilvl w:val="0"/>
          <w:numId w:val="10"/>
        </w:numPr>
        <w:ind w:left="360"/>
        <w:jc w:val="both"/>
      </w:pPr>
      <w:r w:rsidRPr="002C47A3">
        <w:rPr>
          <w:rFonts w:eastAsiaTheme="minorEastAsia"/>
          <w:b/>
          <w:color w:val="000000" w:themeColor="text1"/>
          <w:kern w:val="24"/>
        </w:rPr>
        <w:t>Sprechakte</w:t>
      </w:r>
      <w:r w:rsidRPr="002C47A3">
        <w:rPr>
          <w:rFonts w:eastAsiaTheme="minorEastAsia"/>
          <w:color w:val="000000" w:themeColor="text1"/>
          <w:kern w:val="24"/>
        </w:rPr>
        <w:t xml:space="preserve"> in der politischen Sprache (vgl. Liedtke, </w:t>
      </w:r>
      <w:r w:rsidRPr="002C47A3">
        <w:rPr>
          <w:rFonts w:eastAsiaTheme="minorEastAsia"/>
          <w:i/>
          <w:color w:val="000000" w:themeColor="text1"/>
          <w:kern w:val="24"/>
        </w:rPr>
        <w:t>Moderne Pragmatik</w:t>
      </w:r>
      <w:r w:rsidRPr="002C47A3">
        <w:rPr>
          <w:rFonts w:eastAsiaTheme="minorEastAsia"/>
          <w:color w:val="000000" w:themeColor="text1"/>
          <w:kern w:val="24"/>
        </w:rPr>
        <w:t>, S. 218-221; Staffeldt, „Sprechakttheoretisch analysieren“; Hindelang/Yang, „Sprechakttheoretische Dialoganalyse“)</w:t>
      </w:r>
    </w:p>
    <w:p w14:paraId="355751E2" w14:textId="77777777" w:rsidR="005E0DB2" w:rsidRPr="002C47A3" w:rsidRDefault="005E0DB2" w:rsidP="003E0D9F">
      <w:pPr>
        <w:pStyle w:val="Listenabsatz"/>
        <w:numPr>
          <w:ilvl w:val="0"/>
          <w:numId w:val="10"/>
        </w:numPr>
        <w:spacing w:after="120"/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 xml:space="preserve">Gebrauch </w:t>
      </w:r>
      <w:r w:rsidRPr="002C47A3">
        <w:rPr>
          <w:rFonts w:eastAsiaTheme="minorEastAsia"/>
          <w:b/>
          <w:iCs/>
          <w:color w:val="000000" w:themeColor="text1"/>
          <w:kern w:val="24"/>
        </w:rPr>
        <w:t>deiktischer Ausdrücke</w:t>
      </w:r>
      <w:r w:rsidRPr="002C47A3">
        <w:rPr>
          <w:rFonts w:eastAsiaTheme="minorEastAsia"/>
          <w:color w:val="000000" w:themeColor="text1"/>
          <w:kern w:val="24"/>
        </w:rPr>
        <w:t xml:space="preserve"> (vgl. Liedtke, </w:t>
      </w:r>
      <w:r w:rsidRPr="002C47A3">
        <w:rPr>
          <w:rFonts w:eastAsiaTheme="minorEastAsia"/>
          <w:i/>
          <w:color w:val="000000" w:themeColor="text1"/>
          <w:kern w:val="24"/>
        </w:rPr>
        <w:t>Moderne Pragmatik</w:t>
      </w:r>
      <w:r w:rsidRPr="002C47A3">
        <w:rPr>
          <w:rFonts w:eastAsiaTheme="minorEastAsia"/>
          <w:color w:val="000000" w:themeColor="text1"/>
          <w:kern w:val="24"/>
        </w:rPr>
        <w:t>, S. 211-214)</w:t>
      </w:r>
    </w:p>
    <w:p w14:paraId="71ED2816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>Begriffe besetzen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4"/>
          <w:lang w:eastAsia="de-DE"/>
        </w:rPr>
        <w:t xml:space="preserve"> 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87-98)</w:t>
      </w:r>
    </w:p>
    <w:p w14:paraId="3227BDCB" w14:textId="77777777" w:rsidR="005E0DB2" w:rsidRPr="00265D8A" w:rsidRDefault="005E0DB2" w:rsidP="0026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D8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Semantische Kämpfe auf lexikalischer Ebene zur Stärkung seiner eigenen sprachlichen Ressourcen und zur Schwächung derer der politischen Konkurrenten:</w:t>
      </w:r>
    </w:p>
    <w:p w14:paraId="39A8DA81" w14:textId="77777777" w:rsidR="005E0DB2" w:rsidRPr="002C47A3" w:rsidRDefault="005E0DB2" w:rsidP="003E0D9F">
      <w:pPr>
        <w:pStyle w:val="Listenabsatz"/>
        <w:numPr>
          <w:ilvl w:val="0"/>
          <w:numId w:val="9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Begriffsprägung (</w:t>
      </w:r>
      <w:r w:rsidRPr="002C47A3">
        <w:rPr>
          <w:rFonts w:eastAsiaTheme="minorEastAsia"/>
          <w:i/>
          <w:iCs/>
          <w:color w:val="000000" w:themeColor="text1"/>
          <w:kern w:val="24"/>
        </w:rPr>
        <w:t>Soziale Marktwirtschaft</w:t>
      </w:r>
      <w:r w:rsidRPr="002C47A3">
        <w:rPr>
          <w:rFonts w:eastAsiaTheme="minorEastAsia"/>
          <w:color w:val="000000" w:themeColor="text1"/>
          <w:kern w:val="24"/>
        </w:rPr>
        <w:t>)</w:t>
      </w:r>
    </w:p>
    <w:p w14:paraId="1DD364D3" w14:textId="77777777" w:rsidR="005E0DB2" w:rsidRPr="002C47A3" w:rsidRDefault="005E0DB2" w:rsidP="003E0D9F">
      <w:pPr>
        <w:pStyle w:val="Listenabsatz"/>
        <w:numPr>
          <w:ilvl w:val="0"/>
          <w:numId w:val="9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Parteiliches Prädizieren (</w:t>
      </w:r>
      <w:r w:rsidRPr="002C47A3">
        <w:rPr>
          <w:rFonts w:eastAsiaTheme="minorEastAsia"/>
          <w:i/>
          <w:iCs/>
          <w:color w:val="000000" w:themeColor="text1"/>
          <w:kern w:val="24"/>
        </w:rPr>
        <w:t>Kronzeugenregelung</w:t>
      </w:r>
      <w:r w:rsidRPr="002C47A3">
        <w:rPr>
          <w:rFonts w:eastAsiaTheme="minorEastAsia"/>
          <w:color w:val="000000" w:themeColor="text1"/>
          <w:kern w:val="24"/>
        </w:rPr>
        <w:t xml:space="preserve"> vs. </w:t>
      </w:r>
      <w:r w:rsidRPr="002C47A3">
        <w:rPr>
          <w:rFonts w:eastAsiaTheme="minorEastAsia"/>
          <w:i/>
          <w:iCs/>
          <w:color w:val="000000" w:themeColor="text1"/>
          <w:kern w:val="24"/>
        </w:rPr>
        <w:t>Verräterbonus</w:t>
      </w:r>
      <w:r w:rsidRPr="002C47A3">
        <w:rPr>
          <w:rFonts w:eastAsiaTheme="minorEastAsia"/>
          <w:color w:val="000000" w:themeColor="text1"/>
          <w:kern w:val="24"/>
        </w:rPr>
        <w:t>)</w:t>
      </w:r>
    </w:p>
    <w:p w14:paraId="51CFC3F3" w14:textId="77777777" w:rsidR="005E0DB2" w:rsidRPr="002C47A3" w:rsidRDefault="005E0DB2" w:rsidP="003E0D9F">
      <w:pPr>
        <w:pStyle w:val="Listenabsatz"/>
        <w:numPr>
          <w:ilvl w:val="0"/>
          <w:numId w:val="9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Begriffsumdeutung (</w:t>
      </w:r>
      <w:r w:rsidRPr="002C47A3">
        <w:rPr>
          <w:rFonts w:eastAsiaTheme="minorEastAsia"/>
          <w:i/>
          <w:iCs/>
          <w:color w:val="000000" w:themeColor="text1"/>
          <w:kern w:val="24"/>
        </w:rPr>
        <w:t>Kommunismus</w:t>
      </w:r>
      <w:r w:rsidRPr="002C47A3">
        <w:rPr>
          <w:rFonts w:eastAsiaTheme="minorEastAsia"/>
          <w:color w:val="000000" w:themeColor="text1"/>
          <w:kern w:val="24"/>
        </w:rPr>
        <w:t xml:space="preserve"> vs. </w:t>
      </w:r>
      <w:r w:rsidRPr="002C47A3">
        <w:rPr>
          <w:rFonts w:eastAsiaTheme="minorEastAsia"/>
          <w:i/>
          <w:iCs/>
          <w:color w:val="000000" w:themeColor="text1"/>
          <w:kern w:val="24"/>
        </w:rPr>
        <w:t>Gemeinschaftseigentum</w:t>
      </w:r>
      <w:r w:rsidRPr="002C47A3">
        <w:rPr>
          <w:rFonts w:eastAsiaTheme="minorEastAsia"/>
          <w:color w:val="000000" w:themeColor="text1"/>
          <w:kern w:val="24"/>
        </w:rPr>
        <w:t>)</w:t>
      </w:r>
    </w:p>
    <w:p w14:paraId="2A9D1E31" w14:textId="77777777" w:rsidR="005E0DB2" w:rsidRPr="002C47A3" w:rsidRDefault="005E0DB2" w:rsidP="003E0D9F">
      <w:pPr>
        <w:pStyle w:val="Listenabsatz"/>
        <w:numPr>
          <w:ilvl w:val="0"/>
          <w:numId w:val="9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 xml:space="preserve">Begriffsumwertung (z. B. </w:t>
      </w:r>
      <w:r w:rsidRPr="002C47A3">
        <w:rPr>
          <w:rFonts w:eastAsiaTheme="minorEastAsia"/>
          <w:i/>
          <w:iCs/>
          <w:color w:val="000000" w:themeColor="text1"/>
          <w:kern w:val="24"/>
        </w:rPr>
        <w:t>konservativ</w:t>
      </w:r>
      <w:r w:rsidRPr="002C47A3">
        <w:rPr>
          <w:rFonts w:eastAsiaTheme="minorEastAsia"/>
          <w:color w:val="000000" w:themeColor="text1"/>
          <w:kern w:val="24"/>
        </w:rPr>
        <w:t xml:space="preserve">) </w:t>
      </w:r>
    </w:p>
    <w:p w14:paraId="689BFA44" w14:textId="77777777" w:rsidR="005E0DB2" w:rsidRPr="00A11E78" w:rsidRDefault="005E0DB2" w:rsidP="003E0D9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11E78">
        <w:rPr>
          <w:rFonts w:ascii="Times New Roman" w:hAnsi="Times New Roman" w:cs="Times New Roman"/>
          <w:b/>
          <w:sz w:val="32"/>
          <w:szCs w:val="24"/>
        </w:rPr>
        <w:t>Textebene</w:t>
      </w:r>
    </w:p>
    <w:p w14:paraId="137EA689" w14:textId="77777777" w:rsidR="00551BE4" w:rsidRDefault="005E0DB2" w:rsidP="003E0D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 xml:space="preserve">Analyse politischer Sprache im Hinblick auf die Erfüllung oder Nichterfüllung von Erwartungen im Hinblick auf bestimmte Textsorten </w:t>
      </w:r>
    </w:p>
    <w:p w14:paraId="42DCF2F2" w14:textId="3637BDF1" w:rsidR="005E0DB2" w:rsidRPr="005E0DB2" w:rsidRDefault="005E0DB2" w:rsidP="003E0D9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(vgl. Niehr, </w:t>
      </w:r>
      <w:r w:rsidRPr="005E0DB2"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99-112)</w:t>
      </w:r>
    </w:p>
    <w:p w14:paraId="31610B80" w14:textId="77777777" w:rsidR="005E0DB2" w:rsidRPr="005E0DB2" w:rsidRDefault="005E0DB2" w:rsidP="003E0D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>Beispiele:</w:t>
      </w:r>
    </w:p>
    <w:p w14:paraId="73030251" w14:textId="4569C360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>1. Funktionen von Parteiprogrammen</w:t>
      </w:r>
    </w:p>
    <w:p w14:paraId="557CCEF1" w14:textId="77777777" w:rsidR="005E0DB2" w:rsidRPr="005E0DB2" w:rsidRDefault="005E0DB2" w:rsidP="003E0D9F">
      <w:pPr>
        <w:spacing w:after="0" w:line="240" w:lineRule="auto"/>
        <w:ind w:left="1588" w:hanging="1361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C47A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>Nach innen: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Integrationsfunktion, Identifikationsfunktion, Herrschaftsfunktion, Legitimationsfunktion, Stimulationsfunktion</w:t>
      </w:r>
    </w:p>
    <w:p w14:paraId="301BD496" w14:textId="77777777" w:rsidR="005E0DB2" w:rsidRPr="005E0DB2" w:rsidRDefault="005E0DB2" w:rsidP="003E0D9F">
      <w:pPr>
        <w:spacing w:after="12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C47A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>Nach außen: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Werbefunktion, Profilfunktion, Agitationsfunktion, Operationsbasisfunktion</w:t>
      </w:r>
    </w:p>
    <w:p w14:paraId="36B73A96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>2. Funktionen von Parlamentsdebatten</w:t>
      </w:r>
    </w:p>
    <w:p w14:paraId="2E4F59E5" w14:textId="00EB6AA5" w:rsidR="005E0DB2" w:rsidRPr="005E0DB2" w:rsidRDefault="005E0DB2" w:rsidP="003E0D9F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Fiktion einer realen Argumentationssituation vs. Funktion der Bestätigung von Entscheidungen</w:t>
      </w:r>
    </w:p>
    <w:p w14:paraId="35387205" w14:textId="77777777" w:rsidR="005E0DB2" w:rsidRPr="005E0DB2" w:rsidRDefault="005E0DB2" w:rsidP="009633A4">
      <w:pPr>
        <w:spacing w:after="120" w:line="240" w:lineRule="auto"/>
        <w:ind w:left="227"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112-121)</w:t>
      </w:r>
    </w:p>
    <w:p w14:paraId="517AFCC3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>Intertextualität</w:t>
      </w:r>
    </w:p>
    <w:p w14:paraId="763FA199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Analyse des Zusammenhangs verschiedener Texte untereinander: hohes Maß an Intertextualität z. B. bei Hyper-Texten im Internet 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121-124)</w:t>
      </w:r>
    </w:p>
    <w:p w14:paraId="022765D8" w14:textId="77777777" w:rsidR="005E0DB2" w:rsidRPr="00A11E78" w:rsidRDefault="005E0DB2" w:rsidP="003E0D9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11E78">
        <w:rPr>
          <w:rFonts w:ascii="Times New Roman" w:hAnsi="Times New Roman" w:cs="Times New Roman"/>
          <w:b/>
          <w:sz w:val="32"/>
          <w:szCs w:val="24"/>
        </w:rPr>
        <w:t>Diskursebene</w:t>
      </w:r>
    </w:p>
    <w:p w14:paraId="6DFECE16" w14:textId="77777777" w:rsidR="00B51B07" w:rsidRDefault="005E0DB2" w:rsidP="00B51B0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„Diskurs ist ein Geflecht von thematisch zusammengehörigen Aussagen, die über Textkorpora zu erschließen sind. Quantitativ sind dabei die Grenzen prinzipiell nach oben wie unten verschiebbar.“</w:t>
      </w:r>
    </w:p>
    <w:p w14:paraId="3C7ABB4D" w14:textId="63351CB9" w:rsidR="005E0DB2" w:rsidRPr="005E0DB2" w:rsidRDefault="005E0DB2" w:rsidP="00B51B0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(Niehr,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127)</w:t>
      </w:r>
    </w:p>
    <w:p w14:paraId="4B705CC7" w14:textId="77777777" w:rsidR="005E0DB2" w:rsidRPr="005E0DB2" w:rsidRDefault="005E0DB2" w:rsidP="003E0D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 xml:space="preserve">Aufgabe der linguistischen Diskursanalyse: 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Beschreibung von Diskursen (sie darf nicht die dort vertretenen Positionen kritisieren oder Partei ergreifen) 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127)</w:t>
      </w:r>
    </w:p>
    <w:p w14:paraId="30A42D0A" w14:textId="77777777" w:rsidR="005E0DB2" w:rsidRPr="005E0DB2" w:rsidRDefault="005E0DB2" w:rsidP="003E0D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 xml:space="preserve">Erstellung eines konkreten Textkorpus 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als gestufter Einschränkungsprozess im Hinblick auf Thema, Zeitraum, Medien, Textsorten etc. 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132)</w:t>
      </w:r>
    </w:p>
    <w:p w14:paraId="25609DF2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 xml:space="preserve">Diskursrelevante Lexik 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(vgl. Niehr, </w:t>
      </w:r>
      <w:r w:rsidRPr="006C17D5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136-143)</w:t>
      </w:r>
    </w:p>
    <w:p w14:paraId="06980111" w14:textId="0050755A" w:rsidR="005E0DB2" w:rsidRPr="006C17D5" w:rsidRDefault="005E0DB2" w:rsidP="003E0D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Indizien für diskursrelevantes Vokabular</w:t>
      </w:r>
      <w:r w:rsidR="006C17D5" w:rsidRPr="006C17D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6C17D5" w:rsidRPr="006C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</w:t>
      </w:r>
      <w:r w:rsidR="00E876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vgl. </w:t>
      </w:r>
      <w:r w:rsidR="006C17D5" w:rsidRPr="006C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Niehr, </w:t>
      </w:r>
      <w:r w:rsidR="006C17D5" w:rsidRPr="006C17D5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>Politolinguistik</w:t>
      </w:r>
      <w:r w:rsidR="006C17D5" w:rsidRPr="006C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S. 13</w:t>
      </w:r>
      <w:r w:rsidR="00E876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6-137</w:t>
      </w:r>
      <w:r w:rsidR="006C17D5" w:rsidRPr="006C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</w:t>
      </w:r>
    </w:p>
    <w:p w14:paraId="106DACD7" w14:textId="77777777" w:rsidR="005E0DB2" w:rsidRPr="002C47A3" w:rsidRDefault="005E0DB2" w:rsidP="003E0D9F">
      <w:pPr>
        <w:pStyle w:val="Listenabsatz"/>
        <w:numPr>
          <w:ilvl w:val="0"/>
          <w:numId w:val="8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Explizite Thematisierung (</w:t>
      </w:r>
      <w:r w:rsidRPr="002C47A3">
        <w:rPr>
          <w:rFonts w:eastAsiaTheme="minorEastAsia"/>
          <w:i/>
          <w:iCs/>
          <w:color w:val="000000" w:themeColor="text1"/>
          <w:kern w:val="24"/>
        </w:rPr>
        <w:t>Kommunismus</w:t>
      </w:r>
      <w:r w:rsidRPr="002C47A3">
        <w:rPr>
          <w:rFonts w:eastAsiaTheme="minorEastAsia"/>
          <w:color w:val="000000" w:themeColor="text1"/>
          <w:kern w:val="24"/>
        </w:rPr>
        <w:t>)</w:t>
      </w:r>
    </w:p>
    <w:p w14:paraId="5A8C6867" w14:textId="726E33A0" w:rsidR="005E0DB2" w:rsidRPr="002C47A3" w:rsidRDefault="005E0DB2" w:rsidP="003E0D9F">
      <w:pPr>
        <w:pStyle w:val="Listenabsatz"/>
        <w:numPr>
          <w:ilvl w:val="0"/>
          <w:numId w:val="8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Implizite Thematisierung (</w:t>
      </w:r>
      <w:r w:rsidR="00E8768E">
        <w:rPr>
          <w:rFonts w:eastAsiaTheme="minorEastAsia"/>
          <w:i/>
          <w:iCs/>
          <w:color w:val="000000" w:themeColor="text1"/>
          <w:kern w:val="24"/>
        </w:rPr>
        <w:t>Leibesübungen</w:t>
      </w:r>
      <w:r w:rsidR="00B77930">
        <w:rPr>
          <w:rFonts w:eastAsiaTheme="minorEastAsia"/>
          <w:i/>
          <w:iCs/>
          <w:color w:val="000000" w:themeColor="text1"/>
          <w:kern w:val="24"/>
        </w:rPr>
        <w:t xml:space="preserve">: </w:t>
      </w:r>
      <w:r w:rsidR="00B77930">
        <w:rPr>
          <w:rFonts w:eastAsiaTheme="minorEastAsia"/>
          <w:color w:val="000000" w:themeColor="text1"/>
          <w:kern w:val="24"/>
        </w:rPr>
        <w:t>ironisierend für</w:t>
      </w:r>
      <w:r w:rsidR="00E8768E">
        <w:rPr>
          <w:rFonts w:eastAsiaTheme="minorEastAsia"/>
          <w:color w:val="000000" w:themeColor="text1"/>
          <w:kern w:val="24"/>
        </w:rPr>
        <w:t xml:space="preserve"> </w:t>
      </w:r>
      <w:r w:rsidR="00E8768E" w:rsidRPr="00E8768E">
        <w:rPr>
          <w:rFonts w:eastAsiaTheme="minorEastAsia"/>
          <w:i/>
          <w:iCs/>
          <w:color w:val="000000" w:themeColor="text1"/>
          <w:kern w:val="24"/>
        </w:rPr>
        <w:t>Sport</w:t>
      </w:r>
      <w:r w:rsidR="00E8768E">
        <w:rPr>
          <w:rFonts w:eastAsiaTheme="minorEastAsia"/>
          <w:color w:val="000000" w:themeColor="text1"/>
          <w:kern w:val="24"/>
        </w:rPr>
        <w:t>)</w:t>
      </w:r>
    </w:p>
    <w:p w14:paraId="578E2F61" w14:textId="77777777" w:rsidR="005E0DB2" w:rsidRPr="002C47A3" w:rsidRDefault="005E0DB2" w:rsidP="003E0D9F">
      <w:pPr>
        <w:pStyle w:val="Listenabsatz"/>
        <w:numPr>
          <w:ilvl w:val="0"/>
          <w:numId w:val="8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Gelegenheitskomposita (</w:t>
      </w:r>
      <w:r w:rsidRPr="002C47A3">
        <w:rPr>
          <w:rFonts w:eastAsiaTheme="minorEastAsia"/>
          <w:i/>
          <w:iCs/>
          <w:color w:val="000000" w:themeColor="text1"/>
          <w:kern w:val="24"/>
        </w:rPr>
        <w:t>Too-big-to-fail-Problematik</w:t>
      </w:r>
      <w:r w:rsidRPr="002C47A3">
        <w:rPr>
          <w:rFonts w:eastAsiaTheme="minorEastAsia"/>
          <w:color w:val="000000" w:themeColor="text1"/>
          <w:kern w:val="24"/>
        </w:rPr>
        <w:t>)</w:t>
      </w:r>
    </w:p>
    <w:p w14:paraId="0360EA38" w14:textId="429A7F56" w:rsidR="006C17D5" w:rsidRDefault="005E0DB2" w:rsidP="003E0D9F">
      <w:pPr>
        <w:pStyle w:val="Listenabsatz"/>
        <w:numPr>
          <w:ilvl w:val="0"/>
          <w:numId w:val="8"/>
        </w:numPr>
        <w:ind w:left="360"/>
        <w:jc w:val="both"/>
        <w:rPr>
          <w:rFonts w:eastAsiaTheme="minorEastAsia"/>
          <w:color w:val="000000" w:themeColor="text1"/>
          <w:kern w:val="24"/>
        </w:rPr>
      </w:pPr>
      <w:r w:rsidRPr="006C17D5">
        <w:rPr>
          <w:rFonts w:eastAsiaTheme="minorEastAsia"/>
          <w:color w:val="000000" w:themeColor="text1"/>
          <w:kern w:val="24"/>
        </w:rPr>
        <w:t>Neologismen (</w:t>
      </w:r>
      <w:r w:rsidRPr="006C17D5">
        <w:rPr>
          <w:rFonts w:eastAsiaTheme="minorEastAsia"/>
          <w:i/>
          <w:iCs/>
          <w:color w:val="000000" w:themeColor="text1"/>
          <w:kern w:val="24"/>
        </w:rPr>
        <w:t>Euro-Rettungsschirm</w:t>
      </w:r>
      <w:r w:rsidRPr="006C17D5">
        <w:rPr>
          <w:rFonts w:eastAsiaTheme="minorEastAsia"/>
          <w:color w:val="000000" w:themeColor="text1"/>
          <w:kern w:val="24"/>
        </w:rPr>
        <w:t xml:space="preserve">) </w:t>
      </w:r>
    </w:p>
    <w:p w14:paraId="3C13D631" w14:textId="77777777" w:rsidR="006C17D5" w:rsidRDefault="006C17D5" w:rsidP="003E0D9F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</w:pPr>
      <w:r>
        <w:rPr>
          <w:rFonts w:eastAsiaTheme="minorEastAsia"/>
          <w:color w:val="000000" w:themeColor="text1"/>
          <w:kern w:val="24"/>
        </w:rPr>
        <w:br w:type="page"/>
      </w:r>
    </w:p>
    <w:p w14:paraId="261425EB" w14:textId="29E64E91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lastRenderedPageBreak/>
        <w:t xml:space="preserve">Diskursrelevante Metaphorik 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144-151)</w:t>
      </w:r>
    </w:p>
    <w:p w14:paraId="6DFF777E" w14:textId="072BDA9C" w:rsidR="005E0DB2" w:rsidRPr="002C47A3" w:rsidRDefault="005E0DB2" w:rsidP="003E0D9F">
      <w:pPr>
        <w:pStyle w:val="Listenabsatz"/>
        <w:numPr>
          <w:ilvl w:val="0"/>
          <w:numId w:val="7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 xml:space="preserve">Zentrale Bedeutung von Metaphernnetzen bzw. </w:t>
      </w:r>
      <w:r w:rsidR="000E7CF4">
        <w:rPr>
          <w:rFonts w:eastAsiaTheme="minorEastAsia"/>
          <w:color w:val="000000" w:themeColor="text1"/>
          <w:kern w:val="24"/>
        </w:rPr>
        <w:t>-</w:t>
      </w:r>
      <w:r w:rsidRPr="002C47A3">
        <w:rPr>
          <w:rFonts w:eastAsiaTheme="minorEastAsia"/>
          <w:color w:val="000000" w:themeColor="text1"/>
          <w:kern w:val="24"/>
        </w:rPr>
        <w:t xml:space="preserve">feldern, wie z. B. als geflügelte Worte verbreitete Einsichten (z. B. </w:t>
      </w:r>
      <w:r w:rsidRPr="002C47A3">
        <w:rPr>
          <w:rFonts w:eastAsiaTheme="minorEastAsia"/>
          <w:i/>
          <w:iCs/>
          <w:color w:val="000000" w:themeColor="text1"/>
          <w:kern w:val="24"/>
        </w:rPr>
        <w:t>Zeit ist Geld</w:t>
      </w:r>
      <w:r w:rsidRPr="002C47A3">
        <w:rPr>
          <w:rFonts w:eastAsiaTheme="minorEastAsia"/>
          <w:color w:val="000000" w:themeColor="text1"/>
          <w:kern w:val="24"/>
        </w:rPr>
        <w:t xml:space="preserve">) </w:t>
      </w:r>
    </w:p>
    <w:p w14:paraId="7C9815C7" w14:textId="77777777" w:rsidR="005E0DB2" w:rsidRPr="002C47A3" w:rsidRDefault="005E0DB2" w:rsidP="003E0D9F">
      <w:pPr>
        <w:pStyle w:val="Listenabsatz"/>
        <w:numPr>
          <w:ilvl w:val="0"/>
          <w:numId w:val="7"/>
        </w:numPr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>Kommunikationsstrategisch nutzbares Implikationspotenzial</w:t>
      </w:r>
    </w:p>
    <w:p w14:paraId="718880FB" w14:textId="14F7D969" w:rsidR="005E0DB2" w:rsidRPr="002C47A3" w:rsidRDefault="005E0DB2" w:rsidP="003E0D9F">
      <w:pPr>
        <w:pStyle w:val="Listenabsatz"/>
        <w:numPr>
          <w:ilvl w:val="0"/>
          <w:numId w:val="7"/>
        </w:numPr>
        <w:spacing w:after="120"/>
        <w:ind w:left="360"/>
        <w:jc w:val="both"/>
      </w:pPr>
      <w:r w:rsidRPr="002C47A3">
        <w:rPr>
          <w:rFonts w:eastAsiaTheme="minorEastAsia"/>
          <w:color w:val="000000" w:themeColor="text1"/>
          <w:kern w:val="24"/>
        </w:rPr>
        <w:t xml:space="preserve">Hervorhebung und Ausblendung bestimmter Eigenschaften am metaphorisierten Gegenstand (vgl. Niehr, </w:t>
      </w:r>
      <w:r w:rsidRPr="002C47A3">
        <w:rPr>
          <w:rFonts w:eastAsiaTheme="minorEastAsia"/>
          <w:i/>
          <w:iCs/>
          <w:color w:val="000000" w:themeColor="text1"/>
          <w:kern w:val="24"/>
        </w:rPr>
        <w:t>Politolinguistik</w:t>
      </w:r>
      <w:r w:rsidRPr="002C47A3">
        <w:rPr>
          <w:rFonts w:eastAsiaTheme="minorEastAsia"/>
          <w:color w:val="000000" w:themeColor="text1"/>
          <w:kern w:val="24"/>
        </w:rPr>
        <w:t xml:space="preserve">, S. 144, unter Berufung auf Lakoff, George/Johnson, Mark, </w:t>
      </w:r>
      <w:r w:rsidRPr="002C47A3">
        <w:rPr>
          <w:rFonts w:eastAsiaTheme="minorEastAsia"/>
          <w:i/>
          <w:iCs/>
          <w:color w:val="000000" w:themeColor="text1"/>
          <w:kern w:val="24"/>
        </w:rPr>
        <w:t>Leben in Metaphern</w:t>
      </w:r>
      <w:r w:rsidRPr="002C47A3">
        <w:rPr>
          <w:rFonts w:eastAsiaTheme="minorEastAsia"/>
          <w:color w:val="000000" w:themeColor="text1"/>
          <w:kern w:val="24"/>
        </w:rPr>
        <w:t>. Heidelberg: Carl-Auer-Systeme, 2000.)</w:t>
      </w:r>
    </w:p>
    <w:p w14:paraId="1CC9099B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4"/>
          <w:lang w:eastAsia="de-DE"/>
        </w:rPr>
        <w:t>Diskursrelevante Argumentation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151-159)</w:t>
      </w:r>
    </w:p>
    <w:p w14:paraId="678252DA" w14:textId="77777777" w:rsidR="005E0DB2" w:rsidRPr="005E0DB2" w:rsidRDefault="005E0DB2" w:rsidP="003E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Verdeutlichung der argumentativen Eigenheiten der Gesamtargumentation eines Diskurses oder mehrerer Diskurse zu einem bestimmten Thema durch Analyse prototypischer Argumente (vgl. Niehr, </w:t>
      </w:r>
      <w:r w:rsidRPr="005E0DB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>Politolinguistik</w:t>
      </w:r>
      <w:r w:rsidRPr="005E0D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S. 158, zu den für die Analyse zentralen Fragestellungen vgl. S. 157-158)</w:t>
      </w:r>
    </w:p>
    <w:p w14:paraId="0DB16358" w14:textId="77777777" w:rsidR="005E0DB2" w:rsidRPr="00A11E78" w:rsidRDefault="005E0DB2" w:rsidP="003E0D9F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11E78">
        <w:rPr>
          <w:rFonts w:ascii="Times New Roman" w:hAnsi="Times New Roman" w:cs="Times New Roman"/>
          <w:b/>
          <w:sz w:val="32"/>
          <w:szCs w:val="24"/>
        </w:rPr>
        <w:t>Mögliche Ausgangspunkte für die schriftliche Hausarbeit</w:t>
      </w:r>
    </w:p>
    <w:p w14:paraId="693CDAE4" w14:textId="430BF5AB" w:rsidR="005E0DB2" w:rsidRPr="003E0D9F" w:rsidRDefault="005E0DB2" w:rsidP="003E0D9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</w:pPr>
      <w:r w:rsidRPr="003E0D9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 xml:space="preserve">Wortebene: </w:t>
      </w:r>
      <w:r w:rsidRPr="003E0D9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zahlreiche Möglichkeiten der Analyse, insbesondere auf der Grundlage semantischer und pragmatischer Theorien, z. B.: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1"/>
      </w:tblGrid>
      <w:tr w:rsidR="003E0D9F" w:rsidRPr="003E0D9F" w14:paraId="7D57F701" w14:textId="77777777" w:rsidTr="003E0D9F">
        <w:tc>
          <w:tcPr>
            <w:tcW w:w="5030" w:type="dxa"/>
          </w:tcPr>
          <w:p w14:paraId="769441B6" w14:textId="7F1DB69F" w:rsidR="003E0D9F" w:rsidRPr="003E0D9F" w:rsidRDefault="003E0D9F" w:rsidP="003E0D9F">
            <w:pPr>
              <w:pStyle w:val="Listenabsatz"/>
              <w:numPr>
                <w:ilvl w:val="0"/>
                <w:numId w:val="13"/>
              </w:numPr>
              <w:ind w:left="360"/>
              <w:jc w:val="both"/>
            </w:pPr>
            <w:r w:rsidRPr="003E0D9F">
              <w:rPr>
                <w:rFonts w:eastAsiaTheme="minorEastAsia"/>
                <w:color w:val="000000" w:themeColor="text1"/>
                <w:kern w:val="24"/>
              </w:rPr>
              <w:t>Konversationsmaximen und Implikaturen</w:t>
            </w:r>
          </w:p>
        </w:tc>
        <w:tc>
          <w:tcPr>
            <w:tcW w:w="5031" w:type="dxa"/>
          </w:tcPr>
          <w:p w14:paraId="30A9CE31" w14:textId="40F63EF2" w:rsidR="003E0D9F" w:rsidRPr="003E0D9F" w:rsidRDefault="003E0D9F" w:rsidP="003E0D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E0D9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→ </w:t>
            </w:r>
            <w:r w:rsidRPr="003E0D9F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Pragmatik (2)</w:t>
            </w:r>
          </w:p>
        </w:tc>
      </w:tr>
      <w:tr w:rsidR="003E0D9F" w:rsidRPr="003E0D9F" w14:paraId="2EDBF4CA" w14:textId="77777777" w:rsidTr="003E0D9F">
        <w:tc>
          <w:tcPr>
            <w:tcW w:w="5030" w:type="dxa"/>
          </w:tcPr>
          <w:p w14:paraId="32ABCCF6" w14:textId="3D2D3733" w:rsidR="003E0D9F" w:rsidRPr="003E0D9F" w:rsidRDefault="003E0D9F" w:rsidP="003E0D9F">
            <w:pPr>
              <w:pStyle w:val="Listenabsatz"/>
              <w:numPr>
                <w:ilvl w:val="0"/>
                <w:numId w:val="13"/>
              </w:numPr>
              <w:ind w:left="360"/>
              <w:jc w:val="both"/>
            </w:pPr>
            <w:r w:rsidRPr="003E0D9F">
              <w:rPr>
                <w:rFonts w:eastAsiaTheme="minorEastAsia"/>
                <w:color w:val="000000" w:themeColor="text1"/>
                <w:kern w:val="24"/>
              </w:rPr>
              <w:t>Sprechakte</w:t>
            </w:r>
          </w:p>
        </w:tc>
        <w:tc>
          <w:tcPr>
            <w:tcW w:w="5031" w:type="dxa"/>
          </w:tcPr>
          <w:p w14:paraId="03E2CCEB" w14:textId="46EDCAA0" w:rsidR="003E0D9F" w:rsidRPr="003E0D9F" w:rsidRDefault="003E0D9F" w:rsidP="003E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E0D9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→ </w:t>
            </w:r>
            <w:r w:rsidRPr="003E0D9F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Pragmatik (3); Vertiefung Pragmatik</w:t>
            </w:r>
          </w:p>
        </w:tc>
      </w:tr>
      <w:tr w:rsidR="003E0D9F" w:rsidRPr="003E0D9F" w14:paraId="5BD664F8" w14:textId="77777777" w:rsidTr="003E0D9F">
        <w:tc>
          <w:tcPr>
            <w:tcW w:w="5030" w:type="dxa"/>
          </w:tcPr>
          <w:p w14:paraId="474AC3AC" w14:textId="5629E60A" w:rsidR="003E0D9F" w:rsidRPr="003E0D9F" w:rsidRDefault="003E0D9F" w:rsidP="003E0D9F">
            <w:pPr>
              <w:pStyle w:val="Listenabsatz"/>
              <w:numPr>
                <w:ilvl w:val="0"/>
                <w:numId w:val="13"/>
              </w:numPr>
              <w:ind w:left="360"/>
              <w:jc w:val="both"/>
            </w:pPr>
            <w:r w:rsidRPr="003E0D9F">
              <w:rPr>
                <w:rFonts w:eastAsiaTheme="minorEastAsia"/>
                <w:color w:val="000000" w:themeColor="text1"/>
                <w:kern w:val="24"/>
              </w:rPr>
              <w:t>Deixis</w:t>
            </w:r>
          </w:p>
        </w:tc>
        <w:tc>
          <w:tcPr>
            <w:tcW w:w="5031" w:type="dxa"/>
          </w:tcPr>
          <w:p w14:paraId="1A41729B" w14:textId="45D2E6D1" w:rsidR="003E0D9F" w:rsidRPr="003E0D9F" w:rsidRDefault="003E0D9F" w:rsidP="003E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E0D9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→ </w:t>
            </w:r>
            <w:r w:rsidRPr="003E0D9F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Vertiefung Pragmatik</w:t>
            </w:r>
          </w:p>
        </w:tc>
      </w:tr>
      <w:tr w:rsidR="003E0D9F" w:rsidRPr="003E0D9F" w14:paraId="21141E37" w14:textId="77777777" w:rsidTr="003E0D9F">
        <w:tc>
          <w:tcPr>
            <w:tcW w:w="5030" w:type="dxa"/>
          </w:tcPr>
          <w:p w14:paraId="4AEC74EE" w14:textId="5F7E40F8" w:rsidR="003E0D9F" w:rsidRPr="003E0D9F" w:rsidRDefault="003E0D9F" w:rsidP="003E0D9F">
            <w:pPr>
              <w:pStyle w:val="Listenabsatz"/>
              <w:numPr>
                <w:ilvl w:val="0"/>
                <w:numId w:val="13"/>
              </w:numPr>
              <w:ind w:left="360"/>
              <w:jc w:val="both"/>
            </w:pPr>
            <w:r w:rsidRPr="003E0D9F">
              <w:rPr>
                <w:rFonts w:eastAsiaTheme="minorEastAsia"/>
                <w:color w:val="000000" w:themeColor="text1"/>
                <w:kern w:val="24"/>
              </w:rPr>
              <w:t>Konversationsanalyse</w:t>
            </w:r>
          </w:p>
        </w:tc>
        <w:tc>
          <w:tcPr>
            <w:tcW w:w="5031" w:type="dxa"/>
          </w:tcPr>
          <w:p w14:paraId="6C4EAB72" w14:textId="3F30950D" w:rsidR="003E0D9F" w:rsidRPr="003E0D9F" w:rsidRDefault="003E0D9F" w:rsidP="003E0D9F">
            <w:pPr>
              <w:ind w:left="340" w:hanging="34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E0D9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→ </w:t>
            </w:r>
            <w:r w:rsidRPr="003E0D9F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Pragmatik (4); integrative Anwendung der zentralen Theorien der Pragmatik</w:t>
            </w:r>
          </w:p>
        </w:tc>
      </w:tr>
      <w:tr w:rsidR="003E0D9F" w:rsidRPr="003E0D9F" w14:paraId="30C6060F" w14:textId="77777777" w:rsidTr="003E0D9F">
        <w:tc>
          <w:tcPr>
            <w:tcW w:w="5030" w:type="dxa"/>
          </w:tcPr>
          <w:p w14:paraId="1BD7E9BE" w14:textId="5C3CC7C2" w:rsidR="003E0D9F" w:rsidRPr="003E0D9F" w:rsidRDefault="003E0D9F" w:rsidP="003E0D9F">
            <w:pPr>
              <w:pStyle w:val="Listenabsatz"/>
              <w:numPr>
                <w:ilvl w:val="0"/>
                <w:numId w:val="13"/>
              </w:numPr>
              <w:ind w:left="360"/>
              <w:jc w:val="both"/>
            </w:pPr>
            <w:r w:rsidRPr="003E0D9F">
              <w:rPr>
                <w:rFonts w:eastAsiaTheme="minorEastAsia"/>
                <w:color w:val="000000" w:themeColor="text1"/>
                <w:kern w:val="24"/>
              </w:rPr>
              <w:t>Figurative Bedeutung</w:t>
            </w:r>
          </w:p>
        </w:tc>
        <w:tc>
          <w:tcPr>
            <w:tcW w:w="5031" w:type="dxa"/>
          </w:tcPr>
          <w:p w14:paraId="452ED59F" w14:textId="7438B97B" w:rsidR="003E0D9F" w:rsidRPr="003E0D9F" w:rsidRDefault="003E0D9F" w:rsidP="003E0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E0D9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→ </w:t>
            </w:r>
            <w:r w:rsidRPr="003E0D9F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Semantik (5)</w:t>
            </w:r>
          </w:p>
        </w:tc>
      </w:tr>
      <w:tr w:rsidR="003E0D9F" w:rsidRPr="003E0D9F" w14:paraId="4E661D7E" w14:textId="77777777" w:rsidTr="003E0D9F">
        <w:tc>
          <w:tcPr>
            <w:tcW w:w="5030" w:type="dxa"/>
          </w:tcPr>
          <w:p w14:paraId="37E34A5C" w14:textId="0FAFFEB2" w:rsidR="003E0D9F" w:rsidRPr="003E0D9F" w:rsidRDefault="003E0D9F" w:rsidP="003E0D9F">
            <w:pPr>
              <w:pStyle w:val="Listenabsatz"/>
              <w:numPr>
                <w:ilvl w:val="0"/>
                <w:numId w:val="13"/>
              </w:numPr>
              <w:ind w:left="360"/>
              <w:jc w:val="both"/>
            </w:pPr>
            <w:r w:rsidRPr="003E0D9F">
              <w:rPr>
                <w:rFonts w:eastAsiaTheme="minorEastAsia"/>
                <w:color w:val="000000" w:themeColor="text1"/>
                <w:kern w:val="24"/>
              </w:rPr>
              <w:t>Frames</w:t>
            </w:r>
          </w:p>
        </w:tc>
        <w:tc>
          <w:tcPr>
            <w:tcW w:w="5031" w:type="dxa"/>
          </w:tcPr>
          <w:p w14:paraId="25A88E41" w14:textId="0C7EB6D5" w:rsidR="003E0D9F" w:rsidRPr="003E0D9F" w:rsidRDefault="003E0D9F" w:rsidP="003E0D9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E0D9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→ </w:t>
            </w:r>
            <w:r w:rsidRPr="003E0D9F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Vertiefung Semantik</w:t>
            </w:r>
          </w:p>
        </w:tc>
      </w:tr>
    </w:tbl>
    <w:p w14:paraId="1BF77E4F" w14:textId="425067CC" w:rsidR="005E0DB2" w:rsidRPr="003E0D9F" w:rsidRDefault="005E0DB2" w:rsidP="003E0D9F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3E0D9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Textebene: </w:t>
      </w:r>
      <w:r w:rsidRPr="003E0D9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Untersuchungen ausgehend von ausgewählten Textsorten; Analyse von Intertextualität anhand von Einzelaspekten</w:t>
      </w:r>
    </w:p>
    <w:p w14:paraId="476FB8E8" w14:textId="06C20C0F" w:rsidR="005E0DB2" w:rsidRPr="003E0D9F" w:rsidRDefault="005E0DB2" w:rsidP="003E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D9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 xml:space="preserve">Diskursebene: </w:t>
      </w:r>
      <w:r w:rsidR="002C47A3" w:rsidRPr="003E0D9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Analyse durch die Schülerinnen und Schüler nur auf der Grundlage eines zur Verfügung stehenden Korpus möglich (bei der Suche nach einem geeigneten Korpus relativ viel Unterstützung seitens der Lehrkraft erforderlich)</w:t>
      </w:r>
    </w:p>
    <w:p w14:paraId="0DBBE3CB" w14:textId="184B153F" w:rsidR="00951992" w:rsidRPr="003E0D9F" w:rsidRDefault="00951992" w:rsidP="003E0D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D9F">
        <w:rPr>
          <w:rFonts w:ascii="Times New Roman" w:hAnsi="Times New Roman" w:cs="Times New Roman"/>
          <w:sz w:val="24"/>
          <w:szCs w:val="24"/>
        </w:rPr>
        <w:br w:type="page"/>
      </w:r>
    </w:p>
    <w:p w14:paraId="3E8C8253" w14:textId="77777777" w:rsidR="005E0DB2" w:rsidRPr="005E0DB2" w:rsidRDefault="005E0DB2" w:rsidP="00A11E7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lastRenderedPageBreak/>
        <w:t xml:space="preserve">Literaturhinweise: </w:t>
      </w:r>
    </w:p>
    <w:p w14:paraId="2F70844B" w14:textId="77777777" w:rsidR="005E0DB2" w:rsidRPr="005E0DB2" w:rsidRDefault="005E0DB2" w:rsidP="0080232B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Niehr, Thomas, </w:t>
      </w:r>
      <w:r w:rsidRPr="005E0DB2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 xml:space="preserve">Einführung in die Politolinguistik. Gegenstände und Methoden. </w:t>
      </w:r>
      <w:r w:rsidRPr="005E0DB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Göttingen/Bristol: Vandenhoeck &amp; Ruprecht, 2014. </w:t>
      </w:r>
    </w:p>
    <w:p w14:paraId="0A8FF86E" w14:textId="55B7D1B7" w:rsidR="005E0DB2" w:rsidRDefault="005E0DB2" w:rsidP="00951992">
      <w:pPr>
        <w:spacing w:after="120" w:line="240" w:lineRule="auto"/>
        <w:ind w:left="567" w:hanging="567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</w:pPr>
      <w:bookmarkStart w:id="0" w:name="_Hlk49610240"/>
      <w:r w:rsidRPr="005E0DB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Kilian, Jörg/Niehr, Thomas/Wengeler, Martin (Hrsg.): </w:t>
      </w:r>
      <w:r w:rsidRPr="005E0DB2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 xml:space="preserve">Handbuch Sprache und Politik. </w:t>
      </w:r>
      <w:r w:rsidRPr="005E0DB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>3 Bde. Bremen: Hempen, 2017.</w:t>
      </w:r>
      <w:bookmarkEnd w:id="0"/>
      <w:r w:rsidRPr="005E0DB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 </w:t>
      </w:r>
    </w:p>
    <w:p w14:paraId="525FFE6A" w14:textId="65235D80" w:rsidR="0080232B" w:rsidRPr="00951992" w:rsidRDefault="00A9183E" w:rsidP="00951992">
      <w:pPr>
        <w:spacing w:after="120" w:line="240" w:lineRule="auto"/>
        <w:ind w:left="1644" w:hanging="1644"/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</w:pPr>
      <w:r w:rsidRPr="00A9183E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 xml:space="preserve">In Band 1: </w:t>
      </w:r>
      <w:r w:rsidR="0080232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>Busse, Dietrich: „Lexik – frame-analytisch“ (S. 194-220)</w:t>
      </w:r>
      <w:r w:rsidR="00B8580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: </w:t>
      </w:r>
      <w:r w:rsidR="00B8580C" w:rsidRPr="00951992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 xml:space="preserve">sehr fundierte Darstellung mit anschaulichen Beispielen, für Schülerinnen und Schüler </w:t>
      </w:r>
      <w:r w:rsidR="006C17D5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>ggf. etwas</w:t>
      </w:r>
      <w:r w:rsidR="00B8580C" w:rsidRPr="00951992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 xml:space="preserve"> zu vereinfachen</w:t>
      </w:r>
    </w:p>
    <w:p w14:paraId="35B741B1" w14:textId="404FAE26" w:rsidR="0080232B" w:rsidRDefault="0080232B" w:rsidP="00951992">
      <w:pPr>
        <w:spacing w:after="120" w:line="240" w:lineRule="auto"/>
        <w:ind w:left="1644" w:hanging="567"/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Drommler, Michael: „Lexik – metaphernanalytisch“ (S. 221-240)</w:t>
      </w:r>
      <w:r w:rsidR="00B858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r w:rsidR="00B8580C" w:rsidRPr="00B8580C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sehr gute Zusammenfassung zu den Grundlagen der </w:t>
      </w:r>
      <w:r w:rsidR="00B8580C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Metapherntheorie </w:t>
      </w:r>
      <w:r w:rsidR="00B8580C" w:rsidRPr="00B8580C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und ihren Anwendungsmöglichkeiten </w:t>
      </w:r>
      <w:r w:rsidR="00B8580C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bei der Analyse politischer Sprache</w:t>
      </w:r>
    </w:p>
    <w:p w14:paraId="5AA967D8" w14:textId="1FB7AF4B" w:rsidR="00A9183E" w:rsidRDefault="00A9183E" w:rsidP="00951992">
      <w:pPr>
        <w:spacing w:after="120" w:line="240" w:lineRule="auto"/>
        <w:ind w:left="1644" w:hanging="567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>Liedtke, Frank: „Sprachhandlungsanalyse“ (S. 282-2</w:t>
      </w:r>
      <w:r w:rsidR="0084449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>9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>7)</w:t>
      </w:r>
      <w:r w:rsidR="004E084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: </w:t>
      </w:r>
      <w:r w:rsidR="004E084D" w:rsidRPr="004E084D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>Überlegungen zur Analyse politischer Sprache u. a. im Hinblick auf die Sprecher-Intention, Sprechakte und Implikaturen</w:t>
      </w:r>
    </w:p>
    <w:p w14:paraId="7EE101D3" w14:textId="576B851E" w:rsidR="00A9183E" w:rsidRPr="00A9183E" w:rsidRDefault="00A9183E" w:rsidP="0080232B">
      <w:pPr>
        <w:spacing w:after="120" w:line="240" w:lineRule="auto"/>
        <w:ind w:left="1644" w:hanging="567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Gotsbachner, Emo: „Gesprächsanalyse“ (S. 318-345)</w:t>
      </w:r>
      <w:r w:rsidR="004E08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r w:rsidR="004E084D" w:rsidRPr="004E084D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ausführliche Überlegungen zur Methodik und gute Beispielanalysen</w:t>
      </w:r>
    </w:p>
    <w:p w14:paraId="1CBC6FCE" w14:textId="77777777" w:rsidR="00951992" w:rsidRPr="00117AC5" w:rsidRDefault="005E0DB2" w:rsidP="00951992">
      <w:pPr>
        <w:spacing w:after="0" w:line="240" w:lineRule="auto"/>
        <w:ind w:left="567" w:hanging="567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de-DE"/>
        </w:rPr>
      </w:pPr>
      <w:r w:rsidRPr="00117AC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de-DE"/>
        </w:rPr>
        <w:t xml:space="preserve">Hagemann, Jörg/Staffeldt, Sven (Hrsg.): </w:t>
      </w:r>
      <w:r w:rsidRPr="00117AC5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lang w:eastAsia="de-DE"/>
        </w:rPr>
        <w:t xml:space="preserve">Pragmatiktheorien. </w:t>
      </w:r>
      <w:r w:rsidRPr="00117AC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de-DE"/>
        </w:rPr>
        <w:t xml:space="preserve">Tübingen: Stauffenburg, 2014. </w:t>
      </w:r>
    </w:p>
    <w:p w14:paraId="503A5CDE" w14:textId="45E7A623" w:rsidR="005E0DB2" w:rsidRPr="00117AC5" w:rsidRDefault="005E0DB2" w:rsidP="00951992">
      <w:pPr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17AC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de-DE"/>
        </w:rPr>
        <w:t>(Analyse des Eklats bei der Bundespressekonferenz vom 18.02.2011 anlässlich der Plagiatsvorwürfe gegen den damaligen Verteidigungsminister zu Guttenberg</w:t>
      </w:r>
      <w:r w:rsidR="00117AC5" w:rsidRPr="00117AC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de-DE"/>
        </w:rPr>
        <w:t xml:space="preserve">. Bei entsprechenden Hausarbeitsthemen bieten die unten aufgeführten Aufsätze sehr gute Modellanalysen, an denen sich die Schülerinnen und Schüler </w:t>
      </w:r>
      <w:r w:rsidR="006C17D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de-DE"/>
        </w:rPr>
        <w:t xml:space="preserve">bei </w:t>
      </w:r>
      <w:r w:rsidR="00117AC5" w:rsidRPr="00117AC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de-DE"/>
        </w:rPr>
        <w:t>der Anfertigung ihrer eigenen Analysen in den Hausarbeiten orientieren können.</w:t>
      </w:r>
      <w:r w:rsidRPr="00117AC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de-DE"/>
        </w:rPr>
        <w:t>)</w:t>
      </w:r>
    </w:p>
    <w:p w14:paraId="718AFA90" w14:textId="77777777" w:rsidR="00C21FDE" w:rsidRPr="00117AC5" w:rsidRDefault="00C21FDE" w:rsidP="0080232B">
      <w:pPr>
        <w:spacing w:after="0" w:line="240" w:lineRule="auto"/>
        <w:ind w:left="567" w:hanging="567"/>
        <w:rPr>
          <w:rFonts w:ascii="Times New Roman" w:eastAsiaTheme="minorEastAsia" w:hAnsi="Times New Roman" w:cs="Times New Roman"/>
          <w:kern w:val="24"/>
          <w:sz w:val="24"/>
          <w:szCs w:val="24"/>
          <w:lang w:eastAsia="de-DE"/>
        </w:rPr>
      </w:pPr>
      <w:r w:rsidRPr="00117AC5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de-DE"/>
        </w:rPr>
        <w:t xml:space="preserve">Darin: </w:t>
      </w:r>
      <w:r w:rsidRPr="00117AC5">
        <w:rPr>
          <w:rFonts w:ascii="Times New Roman" w:eastAsiaTheme="minorEastAsia" w:hAnsi="Times New Roman" w:cs="Times New Roman"/>
          <w:kern w:val="24"/>
          <w:sz w:val="24"/>
          <w:szCs w:val="24"/>
          <w:lang w:eastAsia="de-DE"/>
        </w:rPr>
        <w:t>Hagemann, Jörg: „Implikaturanalyse“ (S. 183-212)</w:t>
      </w:r>
    </w:p>
    <w:p w14:paraId="7BBB47F1" w14:textId="3758CFC1" w:rsidR="00C21FDE" w:rsidRPr="00117AC5" w:rsidRDefault="00C21FDE" w:rsidP="00117AC5">
      <w:pPr>
        <w:spacing w:after="120" w:line="240" w:lineRule="auto"/>
        <w:ind w:left="1247"/>
        <w:rPr>
          <w:rFonts w:ascii="Times New Roman" w:eastAsiaTheme="minorEastAsia" w:hAnsi="Times New Roman" w:cs="Times New Roman"/>
          <w:kern w:val="24"/>
          <w:sz w:val="24"/>
          <w:szCs w:val="24"/>
          <w:lang w:eastAsia="de-DE"/>
        </w:rPr>
      </w:pPr>
      <w:bookmarkStart w:id="1" w:name="_Hlk49618163"/>
      <w:r w:rsidRPr="00117AC5">
        <w:rPr>
          <w:rFonts w:ascii="Times New Roman" w:hAnsi="Times New Roman" w:cs="Times New Roman"/>
          <w:sz w:val="24"/>
          <w:szCs w:val="24"/>
        </w:rPr>
        <w:t>Aufsatz online verfügbar</w:t>
      </w:r>
      <w:r w:rsidR="003F12F2" w:rsidRPr="00117AC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F12F2" w:rsidRPr="00117AC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© Pädagogische Hochschule Freiburg</w:t>
        </w:r>
      </w:hyperlink>
      <w:r w:rsidR="003F12F2" w:rsidRPr="00117AC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117AC5">
        <w:rPr>
          <w:rFonts w:ascii="Times New Roman" w:hAnsi="Times New Roman" w:cs="Times New Roman"/>
          <w:sz w:val="24"/>
          <w:szCs w:val="24"/>
        </w:rPr>
        <w:t xml:space="preserve"> via </w:t>
      </w:r>
      <w:hyperlink r:id="rId8" w:history="1">
        <w:r w:rsidRPr="00D332B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ph-freiburg.de</w:t>
        </w:r>
      </w:hyperlink>
      <w:r w:rsidRPr="00117AC5">
        <w:rPr>
          <w:rFonts w:ascii="Times New Roman" w:hAnsi="Times New Roman" w:cs="Times New Roman"/>
          <w:sz w:val="24"/>
          <w:szCs w:val="24"/>
        </w:rPr>
        <w:t xml:space="preserve"> (zuletzt aufgerufen am 2</w:t>
      </w:r>
      <w:r w:rsidR="004E084D" w:rsidRPr="00117AC5">
        <w:rPr>
          <w:rFonts w:ascii="Times New Roman" w:hAnsi="Times New Roman" w:cs="Times New Roman"/>
          <w:sz w:val="24"/>
          <w:szCs w:val="24"/>
        </w:rPr>
        <w:t>9</w:t>
      </w:r>
      <w:r w:rsidRPr="00117AC5">
        <w:rPr>
          <w:rFonts w:ascii="Times New Roman" w:hAnsi="Times New Roman" w:cs="Times New Roman"/>
          <w:sz w:val="24"/>
          <w:szCs w:val="24"/>
        </w:rPr>
        <w:t>.08.2020).</w:t>
      </w:r>
    </w:p>
    <w:bookmarkEnd w:id="1"/>
    <w:p w14:paraId="5AC3DC77" w14:textId="77777777" w:rsidR="00C21FDE" w:rsidRPr="00117AC5" w:rsidRDefault="00C21FDE" w:rsidP="0080232B">
      <w:pPr>
        <w:spacing w:after="0" w:line="240" w:lineRule="auto"/>
        <w:ind w:left="1247" w:hanging="567"/>
        <w:rPr>
          <w:rFonts w:ascii="Times New Roman" w:eastAsiaTheme="minorEastAsia" w:hAnsi="Times New Roman" w:cs="Times New Roman"/>
          <w:kern w:val="24"/>
          <w:sz w:val="24"/>
          <w:szCs w:val="24"/>
          <w:lang w:eastAsia="de-DE"/>
        </w:rPr>
      </w:pPr>
      <w:r w:rsidRPr="00117AC5">
        <w:rPr>
          <w:rFonts w:ascii="Times New Roman" w:eastAsiaTheme="minorEastAsia" w:hAnsi="Times New Roman" w:cs="Times New Roman"/>
          <w:kern w:val="24"/>
          <w:sz w:val="24"/>
          <w:szCs w:val="24"/>
          <w:lang w:eastAsia="de-DE"/>
        </w:rPr>
        <w:t>Staffeldt, Sven: „Sprechakttheoretisch analysieren“ (S. 105-148)</w:t>
      </w:r>
    </w:p>
    <w:p w14:paraId="26ED9B12" w14:textId="75B34BED" w:rsidR="00C21FDE" w:rsidRPr="00117AC5" w:rsidRDefault="00C21FDE" w:rsidP="00951992">
      <w:pPr>
        <w:spacing w:after="120" w:line="240" w:lineRule="auto"/>
        <w:ind w:left="1247"/>
        <w:rPr>
          <w:rFonts w:ascii="Times New Roman" w:hAnsi="Times New Roman" w:cs="Times New Roman"/>
          <w:sz w:val="24"/>
          <w:szCs w:val="24"/>
        </w:rPr>
      </w:pPr>
      <w:r w:rsidRPr="00117AC5">
        <w:rPr>
          <w:rFonts w:ascii="Times New Roman" w:hAnsi="Times New Roman" w:cs="Times New Roman"/>
          <w:sz w:val="24"/>
          <w:szCs w:val="24"/>
        </w:rPr>
        <w:t>Aufsatz online verfügbar</w:t>
      </w:r>
      <w:r w:rsidR="003F12F2" w:rsidRPr="00117AC5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3F12F2" w:rsidRPr="00117AC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© Prof. Dr. Sven Staffeldt</w:t>
        </w:r>
      </w:hyperlink>
      <w:r w:rsidR="003F12F2" w:rsidRPr="00117AC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117AC5">
        <w:rPr>
          <w:rFonts w:ascii="Times New Roman" w:hAnsi="Times New Roman" w:cs="Times New Roman"/>
          <w:sz w:val="24"/>
          <w:szCs w:val="24"/>
        </w:rPr>
        <w:t xml:space="preserve"> via </w:t>
      </w:r>
      <w:hyperlink r:id="rId10" w:history="1">
        <w:r w:rsidRPr="00117AC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sven-staffeldt.de</w:t>
        </w:r>
      </w:hyperlink>
      <w:r w:rsidRPr="00117AC5">
        <w:rPr>
          <w:rFonts w:ascii="Times New Roman" w:hAnsi="Times New Roman" w:cs="Times New Roman"/>
          <w:sz w:val="24"/>
          <w:szCs w:val="24"/>
        </w:rPr>
        <w:t xml:space="preserve"> (zuletzt aufgerufen am 2</w:t>
      </w:r>
      <w:r w:rsidR="004E084D" w:rsidRPr="00117AC5">
        <w:rPr>
          <w:rFonts w:ascii="Times New Roman" w:hAnsi="Times New Roman" w:cs="Times New Roman"/>
          <w:sz w:val="24"/>
          <w:szCs w:val="24"/>
        </w:rPr>
        <w:t>9</w:t>
      </w:r>
      <w:r w:rsidRPr="00117AC5">
        <w:rPr>
          <w:rFonts w:ascii="Times New Roman" w:hAnsi="Times New Roman" w:cs="Times New Roman"/>
          <w:sz w:val="24"/>
          <w:szCs w:val="24"/>
        </w:rPr>
        <w:t>.08.2020).</w:t>
      </w:r>
    </w:p>
    <w:p w14:paraId="17D7C455" w14:textId="546920A1" w:rsidR="00E0451D" w:rsidRPr="00117AC5" w:rsidRDefault="00E0451D" w:rsidP="00117AC5">
      <w:pPr>
        <w:spacing w:after="0" w:line="240" w:lineRule="auto"/>
        <w:ind w:left="1247" w:hanging="567"/>
        <w:rPr>
          <w:rFonts w:ascii="Times New Roman" w:hAnsi="Times New Roman" w:cs="Times New Roman"/>
          <w:sz w:val="24"/>
          <w:szCs w:val="24"/>
        </w:rPr>
      </w:pPr>
      <w:r w:rsidRPr="00117AC5">
        <w:rPr>
          <w:rFonts w:ascii="Times New Roman" w:hAnsi="Times New Roman" w:cs="Times New Roman"/>
          <w:sz w:val="24"/>
          <w:szCs w:val="24"/>
        </w:rPr>
        <w:t>Deppermann, Arnulf: „Konversationsanalyse: Elementare Interaktionsstrukturen am Beispiel der Bundespressekonferenz“</w:t>
      </w:r>
      <w:r w:rsidR="00951992" w:rsidRPr="00117AC5">
        <w:rPr>
          <w:rFonts w:ascii="Times New Roman" w:hAnsi="Times New Roman" w:cs="Times New Roman"/>
          <w:sz w:val="24"/>
          <w:szCs w:val="24"/>
        </w:rPr>
        <w:t xml:space="preserve"> </w:t>
      </w:r>
      <w:r w:rsidR="00117AC5" w:rsidRPr="00117AC5">
        <w:rPr>
          <w:rFonts w:ascii="Times New Roman" w:hAnsi="Times New Roman" w:cs="Times New Roman"/>
          <w:sz w:val="24"/>
          <w:szCs w:val="24"/>
        </w:rPr>
        <w:t>(S. 19-47)</w:t>
      </w:r>
    </w:p>
    <w:p w14:paraId="0A7583C8" w14:textId="784663E8" w:rsidR="004E084D" w:rsidRPr="00117AC5" w:rsidRDefault="003F12F2" w:rsidP="00650480">
      <w:pPr>
        <w:spacing w:after="120" w:line="240" w:lineRule="auto"/>
        <w:ind w:left="1247"/>
        <w:rPr>
          <w:rFonts w:ascii="Times New Roman" w:hAnsi="Times New Roman" w:cs="Times New Roman"/>
          <w:sz w:val="24"/>
          <w:szCs w:val="24"/>
        </w:rPr>
      </w:pPr>
      <w:r w:rsidRPr="00117AC5">
        <w:rPr>
          <w:rFonts w:ascii="Times New Roman" w:hAnsi="Times New Roman" w:cs="Times New Roman"/>
          <w:sz w:val="24"/>
          <w:szCs w:val="24"/>
        </w:rPr>
        <w:t xml:space="preserve">Aufsatz online verfügbar: </w:t>
      </w:r>
      <w:hyperlink r:id="rId11" w:history="1">
        <w:r w:rsidRPr="00117AC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© Leibniz-Institut für Deutsche Sprache (IDS)</w:t>
        </w:r>
      </w:hyperlink>
      <w:r w:rsidRPr="00117A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via </w:t>
      </w:r>
      <w:hyperlink r:id="rId12" w:history="1">
        <w:r w:rsidRPr="00117AC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ids-</w:t>
        </w:r>
        <w:r w:rsidR="004E084D" w:rsidRPr="00117AC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pub.bsz-bw.de</w:t>
        </w:r>
      </w:hyperlink>
      <w:r w:rsidR="004E084D" w:rsidRPr="00117A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E084D" w:rsidRPr="00117AC5">
        <w:rPr>
          <w:rFonts w:ascii="Times New Roman" w:hAnsi="Times New Roman" w:cs="Times New Roman"/>
          <w:sz w:val="24"/>
          <w:szCs w:val="24"/>
        </w:rPr>
        <w:t>(zuletzt aufgerufen am 29.08.2020)</w:t>
      </w:r>
      <w:r w:rsidR="00951992" w:rsidRPr="00117AC5">
        <w:rPr>
          <w:rFonts w:ascii="Times New Roman" w:hAnsi="Times New Roman" w:cs="Times New Roman"/>
          <w:sz w:val="24"/>
          <w:szCs w:val="24"/>
        </w:rPr>
        <w:t>.</w:t>
      </w:r>
    </w:p>
    <w:p w14:paraId="6A09805F" w14:textId="5E2A355E" w:rsidR="005E0DB2" w:rsidRDefault="005E0DB2" w:rsidP="00650480">
      <w:pPr>
        <w:spacing w:after="120" w:line="240" w:lineRule="auto"/>
        <w:ind w:left="680"/>
        <w:rPr>
          <w:rFonts w:ascii="Times New Roman" w:eastAsiaTheme="minorEastAsia" w:hAnsi="Times New Roman" w:cs="Times New Roman"/>
          <w:kern w:val="24"/>
          <w:sz w:val="24"/>
          <w:szCs w:val="24"/>
          <w:lang w:eastAsia="de-DE"/>
        </w:rPr>
      </w:pPr>
      <w:r w:rsidRPr="00117AC5">
        <w:rPr>
          <w:rFonts w:ascii="Times New Roman" w:eastAsiaTheme="minorEastAsia" w:hAnsi="Times New Roman" w:cs="Times New Roman"/>
          <w:kern w:val="24"/>
          <w:sz w:val="24"/>
          <w:szCs w:val="24"/>
          <w:lang w:eastAsia="de-DE"/>
        </w:rPr>
        <w:t>Hindelang, Götz/Yang, Young Sook: „Sprechakttheoretische Dialoganalyse“ (S. 149-181)</w:t>
      </w:r>
    </w:p>
    <w:p w14:paraId="3064291A" w14:textId="29A34E71" w:rsidR="002B1CBE" w:rsidRPr="00EC1555" w:rsidRDefault="002B1CBE" w:rsidP="00650480">
      <w:pPr>
        <w:spacing w:after="120" w:line="240" w:lineRule="auto"/>
        <w:ind w:left="1247" w:hanging="1247"/>
        <w:rPr>
          <w:rFonts w:ascii="Times New Roman" w:hAnsi="Times New Roman" w:cs="Times New Roman"/>
          <w:sz w:val="24"/>
          <w:szCs w:val="24"/>
        </w:rPr>
      </w:pPr>
      <w:r w:rsidRPr="002B1CBE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de-DE"/>
        </w:rPr>
        <w:t>Transkripte</w:t>
      </w:r>
      <w:r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de-DE"/>
        </w:rPr>
        <w:t xml:space="preserve">: </w:t>
      </w:r>
      <w:r w:rsidRPr="00EC1555">
        <w:rPr>
          <w:rFonts w:ascii="Times New Roman" w:hAnsi="Times New Roman" w:cs="Times New Roman"/>
          <w:sz w:val="24"/>
          <w:szCs w:val="24"/>
        </w:rPr>
        <w:t xml:space="preserve">Transkripte zu Staffeldt, Sven/Hagemann, Jörg (Hrsg.): </w:t>
      </w:r>
      <w:r w:rsidRPr="00EC1555">
        <w:rPr>
          <w:rFonts w:ascii="Times New Roman" w:hAnsi="Times New Roman" w:cs="Times New Roman"/>
          <w:i/>
          <w:sz w:val="24"/>
          <w:szCs w:val="24"/>
        </w:rPr>
        <w:t>Pragmatiktheorien. Analysen im Vergleich.</w:t>
      </w:r>
      <w:r w:rsidRPr="00EC1555">
        <w:rPr>
          <w:rFonts w:ascii="Times New Roman" w:hAnsi="Times New Roman" w:cs="Times New Roman"/>
          <w:sz w:val="24"/>
          <w:szCs w:val="24"/>
        </w:rPr>
        <w:t xml:space="preserve"> </w:t>
      </w:r>
      <w:r w:rsidRPr="004101F4">
        <w:rPr>
          <w:rFonts w:ascii="Times New Roman" w:hAnsi="Times New Roman" w:cs="Times New Roman"/>
          <w:sz w:val="24"/>
          <w:szCs w:val="24"/>
        </w:rPr>
        <w:t>Tübingen: Stauffenburg</w:t>
      </w:r>
      <w:r w:rsidR="00C82C0F">
        <w:rPr>
          <w:rFonts w:ascii="Times New Roman" w:hAnsi="Times New Roman" w:cs="Times New Roman"/>
          <w:sz w:val="24"/>
          <w:szCs w:val="24"/>
        </w:rPr>
        <w:t>,</w:t>
      </w:r>
      <w:r w:rsidRPr="004101F4">
        <w:rPr>
          <w:rFonts w:ascii="Times New Roman" w:hAnsi="Times New Roman" w:cs="Times New Roman"/>
          <w:sz w:val="24"/>
          <w:szCs w:val="24"/>
        </w:rPr>
        <w:t xml:space="preserve"> 2014, </w:t>
      </w:r>
      <w:hyperlink r:id="rId13" w:history="1">
        <w:r w:rsidRPr="004101F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de-DE"/>
          </w:rPr>
          <w:t>© Stauffenburg Verlag GmbH</w:t>
        </w:r>
      </w:hyperlink>
      <w:r w:rsidRPr="00410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; via </w:t>
      </w:r>
      <w:hyperlink r:id="rId14" w:history="1">
        <w:r w:rsidRPr="002B1CB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de-DE"/>
          </w:rPr>
          <w:t>stauffenburg.de</w:t>
        </w:r>
      </w:hyperlink>
      <w:r w:rsidRPr="002B1C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223720">
        <w:rPr>
          <w:rFonts w:ascii="Times New Roman" w:eastAsia="Times New Roman" w:hAnsi="Times New Roman" w:cs="Times New Roman"/>
          <w:sz w:val="24"/>
          <w:szCs w:val="24"/>
          <w:lang w:eastAsia="de-DE"/>
        </w:rPr>
        <w:t>(2014</w:t>
      </w:r>
      <w:r w:rsidRPr="00EC15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zuletzt aufgerufen am </w:t>
      </w:r>
      <w:r>
        <w:rPr>
          <w:rFonts w:ascii="Times New Roman" w:hAnsi="Times New Roman" w:cs="Times New Roman"/>
          <w:sz w:val="24"/>
          <w:szCs w:val="24"/>
        </w:rPr>
        <w:t>08.09</w:t>
      </w:r>
      <w:r w:rsidRPr="00FB0C1F">
        <w:rPr>
          <w:rFonts w:ascii="Times New Roman" w:hAnsi="Times New Roman" w:cs="Times New Roman"/>
          <w:sz w:val="24"/>
          <w:szCs w:val="24"/>
        </w:rPr>
        <w:t>.2020</w:t>
      </w:r>
      <w:r w:rsidRPr="00EC1555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Pr="00EC1555">
        <w:rPr>
          <w:rFonts w:ascii="Times New Roman" w:hAnsi="Times New Roman" w:cs="Times New Roman"/>
          <w:sz w:val="24"/>
          <w:szCs w:val="24"/>
        </w:rPr>
        <w:t>.</w:t>
      </w:r>
    </w:p>
    <w:p w14:paraId="098EA08B" w14:textId="1309A557" w:rsidR="005E0DB2" w:rsidRDefault="005E0DB2" w:rsidP="0080232B">
      <w:pPr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</w:pPr>
      <w:r w:rsidRPr="005E0DB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Liedtke, Frank, </w:t>
      </w:r>
      <w:r w:rsidRPr="005E0DB2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>Moderne Pragmatik.</w:t>
      </w:r>
      <w:r w:rsidRPr="005E0DB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 Tübingen: Narr Francke Attempto, 2016, § 13. </w:t>
      </w:r>
    </w:p>
    <w:p w14:paraId="7418B366" w14:textId="1A938425" w:rsidR="00117AC5" w:rsidRPr="00117AC5" w:rsidRDefault="00117AC5" w:rsidP="00117AC5">
      <w:pPr>
        <w:spacing w:after="0" w:line="240" w:lineRule="auto"/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117AC5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>(Exemplarische Analysen u. a. zu Deixis, Sprecher-Intention, Sprechakten und Implikaturen)</w:t>
      </w:r>
    </w:p>
    <w:sectPr w:rsidR="00117AC5" w:rsidRPr="00117AC5" w:rsidSect="00EE6DC8">
      <w:headerReference w:type="default" r:id="rId15"/>
      <w:footerReference w:type="default" r:id="rId1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0740F" w14:textId="77777777" w:rsidR="00687794" w:rsidRDefault="00687794" w:rsidP="005E0DB2">
      <w:pPr>
        <w:spacing w:after="0" w:line="240" w:lineRule="auto"/>
      </w:pPr>
      <w:r>
        <w:separator/>
      </w:r>
    </w:p>
  </w:endnote>
  <w:endnote w:type="continuationSeparator" w:id="0">
    <w:p w14:paraId="553EBC7D" w14:textId="77777777" w:rsidR="00687794" w:rsidRDefault="00687794" w:rsidP="005E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7511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C3A6E0" w14:textId="77777777" w:rsidR="00EE6DC8" w:rsidRPr="00EE6DC8" w:rsidRDefault="00EE6DC8">
        <w:pPr>
          <w:pStyle w:val="Fuzeile"/>
          <w:jc w:val="right"/>
          <w:rPr>
            <w:rFonts w:ascii="Times New Roman" w:hAnsi="Times New Roman" w:cs="Times New Roman"/>
          </w:rPr>
        </w:pPr>
        <w:r w:rsidRPr="00EE6DC8">
          <w:rPr>
            <w:rFonts w:ascii="Times New Roman" w:hAnsi="Times New Roman" w:cs="Times New Roman"/>
          </w:rPr>
          <w:fldChar w:fldCharType="begin"/>
        </w:r>
        <w:r w:rsidRPr="00EE6DC8">
          <w:rPr>
            <w:rFonts w:ascii="Times New Roman" w:hAnsi="Times New Roman" w:cs="Times New Roman"/>
          </w:rPr>
          <w:instrText>PAGE   \* MERGEFORMAT</w:instrText>
        </w:r>
        <w:r w:rsidRPr="00EE6DC8">
          <w:rPr>
            <w:rFonts w:ascii="Times New Roman" w:hAnsi="Times New Roman" w:cs="Times New Roman"/>
          </w:rPr>
          <w:fldChar w:fldCharType="separate"/>
        </w:r>
        <w:r w:rsidR="00FB0CC6">
          <w:rPr>
            <w:rFonts w:ascii="Times New Roman" w:hAnsi="Times New Roman" w:cs="Times New Roman"/>
            <w:noProof/>
          </w:rPr>
          <w:t>2</w:t>
        </w:r>
        <w:r w:rsidRPr="00EE6DC8">
          <w:rPr>
            <w:rFonts w:ascii="Times New Roman" w:hAnsi="Times New Roman" w:cs="Times New Roman"/>
          </w:rPr>
          <w:fldChar w:fldCharType="end"/>
        </w:r>
      </w:p>
    </w:sdtContent>
  </w:sdt>
  <w:p w14:paraId="1FE5C2E2" w14:textId="77777777" w:rsidR="00EE6DC8" w:rsidRDefault="00EE6D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2CFF5" w14:textId="77777777" w:rsidR="00687794" w:rsidRDefault="00687794" w:rsidP="005E0DB2">
      <w:pPr>
        <w:spacing w:after="0" w:line="240" w:lineRule="auto"/>
      </w:pPr>
      <w:r>
        <w:separator/>
      </w:r>
    </w:p>
  </w:footnote>
  <w:footnote w:type="continuationSeparator" w:id="0">
    <w:p w14:paraId="01BA9837" w14:textId="77777777" w:rsidR="00687794" w:rsidRDefault="00687794" w:rsidP="005E0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C392B" w14:textId="5597EE84" w:rsidR="005E0DB2" w:rsidRDefault="00E80FE8" w:rsidP="00814A64">
    <w:pPr>
      <w:pStyle w:val="Kopfzeile"/>
      <w:spacing w:after="240"/>
      <w:jc w:val="center"/>
    </w:pPr>
    <w:r>
      <w:rPr>
        <w:rFonts w:ascii="Times New Roman" w:hAnsi="Times New Roman" w:cs="Times New Roman"/>
        <w:szCs w:val="18"/>
      </w:rPr>
      <w:t>ZPG Vertiefungskurs Sprache – Weber: Überblick zur Politolinguistik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C0A7A"/>
    <w:multiLevelType w:val="hybridMultilevel"/>
    <w:tmpl w:val="5D8C3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61FD"/>
    <w:multiLevelType w:val="hybridMultilevel"/>
    <w:tmpl w:val="EF66B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2A1F"/>
    <w:multiLevelType w:val="hybridMultilevel"/>
    <w:tmpl w:val="2C145112"/>
    <w:lvl w:ilvl="0" w:tplc="7BDE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4E0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4C9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0E5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C3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62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BAA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E7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0A7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51B06"/>
    <w:multiLevelType w:val="hybridMultilevel"/>
    <w:tmpl w:val="E9F85D60"/>
    <w:lvl w:ilvl="0" w:tplc="B7745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4E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8A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88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03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0A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E9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A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5EE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970B87"/>
    <w:multiLevelType w:val="hybridMultilevel"/>
    <w:tmpl w:val="FBD83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3306"/>
    <w:multiLevelType w:val="hybridMultilevel"/>
    <w:tmpl w:val="3E0C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33DD"/>
    <w:multiLevelType w:val="hybridMultilevel"/>
    <w:tmpl w:val="D7BCF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074BF"/>
    <w:multiLevelType w:val="hybridMultilevel"/>
    <w:tmpl w:val="4654773A"/>
    <w:lvl w:ilvl="0" w:tplc="58DA1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0F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C1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6B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66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A3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05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64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E6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362FFA"/>
    <w:multiLevelType w:val="hybridMultilevel"/>
    <w:tmpl w:val="7DF0ED00"/>
    <w:lvl w:ilvl="0" w:tplc="C50CE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41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62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C9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48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2D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81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29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4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7A42ED"/>
    <w:multiLevelType w:val="hybridMultilevel"/>
    <w:tmpl w:val="5C8E23D0"/>
    <w:lvl w:ilvl="0" w:tplc="2D80F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8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65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A4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8A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63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0C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C7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89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3F170B"/>
    <w:multiLevelType w:val="hybridMultilevel"/>
    <w:tmpl w:val="71D0A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71DF7"/>
    <w:multiLevelType w:val="hybridMultilevel"/>
    <w:tmpl w:val="96A60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635E1"/>
    <w:multiLevelType w:val="hybridMultilevel"/>
    <w:tmpl w:val="5A922AC8"/>
    <w:lvl w:ilvl="0" w:tplc="B192C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6E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01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6F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3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EB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AF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4E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DB2"/>
    <w:rsid w:val="000463C6"/>
    <w:rsid w:val="000712A9"/>
    <w:rsid w:val="000D04D7"/>
    <w:rsid w:val="000D56CA"/>
    <w:rsid w:val="000E7CF4"/>
    <w:rsid w:val="00117AC5"/>
    <w:rsid w:val="001D7216"/>
    <w:rsid w:val="00265D8A"/>
    <w:rsid w:val="002A4D4F"/>
    <w:rsid w:val="002B1CBE"/>
    <w:rsid w:val="002C47A3"/>
    <w:rsid w:val="002D598A"/>
    <w:rsid w:val="00360247"/>
    <w:rsid w:val="003E0D9F"/>
    <w:rsid w:val="003E4907"/>
    <w:rsid w:val="003F12F2"/>
    <w:rsid w:val="004057D6"/>
    <w:rsid w:val="00430F2D"/>
    <w:rsid w:val="004E084D"/>
    <w:rsid w:val="00551BE4"/>
    <w:rsid w:val="00565BC6"/>
    <w:rsid w:val="005D7F0F"/>
    <w:rsid w:val="005E0DB2"/>
    <w:rsid w:val="006127BD"/>
    <w:rsid w:val="00650480"/>
    <w:rsid w:val="006679A3"/>
    <w:rsid w:val="00687794"/>
    <w:rsid w:val="00693442"/>
    <w:rsid w:val="006C17D5"/>
    <w:rsid w:val="006C5915"/>
    <w:rsid w:val="006D1005"/>
    <w:rsid w:val="006F2245"/>
    <w:rsid w:val="0080232B"/>
    <w:rsid w:val="00814A64"/>
    <w:rsid w:val="00844490"/>
    <w:rsid w:val="0088415B"/>
    <w:rsid w:val="00911069"/>
    <w:rsid w:val="009358C9"/>
    <w:rsid w:val="00951992"/>
    <w:rsid w:val="009633A4"/>
    <w:rsid w:val="009E3609"/>
    <w:rsid w:val="00A11E78"/>
    <w:rsid w:val="00A9183E"/>
    <w:rsid w:val="00B51B07"/>
    <w:rsid w:val="00B545B1"/>
    <w:rsid w:val="00B77930"/>
    <w:rsid w:val="00B8580C"/>
    <w:rsid w:val="00C10232"/>
    <w:rsid w:val="00C21FDE"/>
    <w:rsid w:val="00C82C0F"/>
    <w:rsid w:val="00CD4CFC"/>
    <w:rsid w:val="00CF2CCD"/>
    <w:rsid w:val="00D118C1"/>
    <w:rsid w:val="00D332BB"/>
    <w:rsid w:val="00E0451D"/>
    <w:rsid w:val="00E80FE8"/>
    <w:rsid w:val="00E8768E"/>
    <w:rsid w:val="00EE6DC8"/>
    <w:rsid w:val="00F26F19"/>
    <w:rsid w:val="00F501F8"/>
    <w:rsid w:val="00F739D4"/>
    <w:rsid w:val="00FB0CC6"/>
    <w:rsid w:val="00FC3247"/>
    <w:rsid w:val="00FF51F6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22C33"/>
  <w15:docId w15:val="{497068FC-B37C-444D-8A3B-C53B70F8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0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0DB2"/>
  </w:style>
  <w:style w:type="paragraph" w:styleId="Fuzeile">
    <w:name w:val="footer"/>
    <w:basedOn w:val="Standard"/>
    <w:link w:val="FuzeileZchn"/>
    <w:uiPriority w:val="99"/>
    <w:unhideWhenUsed/>
    <w:rsid w:val="005E0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0D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DB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E0D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E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21FD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12F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2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4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258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1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-freiburg.de/fileadmin/dateien/mitarbeiter/hagemannfr/Hagemann__2014__Implikaturanalyse.pdf" TargetMode="External"/><Relationship Id="rId13" Type="http://schemas.openxmlformats.org/officeDocument/2006/relationships/hyperlink" Target="http://www.stauffenburg.de/german/html/fs/fs_24990540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h-freiburg.de/service/impressum.html" TargetMode="External"/><Relationship Id="rId12" Type="http://schemas.openxmlformats.org/officeDocument/2006/relationships/hyperlink" Target="https://ids-pub.bsz-bw.de/frontdoor/deliver/index/docId/2546/file/Deppermann_Konversationsanalyse-2014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.ids-mannheim.de/allgemein/impressum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ven-staffeldt.de/mediapool/6/60834/data/Zusammenfassungen/Staffeldt_2014_SA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en-staffeldt.de/kontakt.html" TargetMode="External"/><Relationship Id="rId14" Type="http://schemas.openxmlformats.org/officeDocument/2006/relationships/hyperlink" Target="http://www.stauffenburg.de/download/Ein_27_Skript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 Weber</cp:lastModifiedBy>
  <cp:revision>38</cp:revision>
  <cp:lastPrinted>2020-09-09T11:26:00Z</cp:lastPrinted>
  <dcterms:created xsi:type="dcterms:W3CDTF">2019-11-07T15:09:00Z</dcterms:created>
  <dcterms:modified xsi:type="dcterms:W3CDTF">2020-11-20T16:42:00Z</dcterms:modified>
</cp:coreProperties>
</file>