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E16D" w14:textId="77777777" w:rsidR="00BB7471" w:rsidRPr="00C91A2A" w:rsidRDefault="00AD69F1" w:rsidP="00C91A2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Vorbemerkung </w:t>
      </w:r>
      <w:r w:rsidR="00C3001D" w:rsidRPr="00C91A2A">
        <w:rPr>
          <w:b/>
          <w:sz w:val="24"/>
        </w:rPr>
        <w:t>Hörverstehen</w:t>
      </w:r>
    </w:p>
    <w:p w14:paraId="6C16E16E" w14:textId="64350D45" w:rsidR="00C3001D" w:rsidRPr="00C91A2A" w:rsidRDefault="00E1178B" w:rsidP="00C91A2A">
      <w:pPr>
        <w:pBdr>
          <w:bottom w:val="single" w:sz="4" w:space="1" w:color="auto"/>
        </w:pBdr>
        <w:rPr>
          <w:b/>
          <w:i/>
        </w:rPr>
      </w:pPr>
      <w:r w:rsidRPr="00C91A2A">
        <w:rPr>
          <w:b/>
          <w:i/>
        </w:rPr>
        <w:t xml:space="preserve">A </w:t>
      </w:r>
      <w:r w:rsidR="008511DA">
        <w:rPr>
          <w:b/>
          <w:i/>
        </w:rPr>
        <w:t>–</w:t>
      </w:r>
      <w:r w:rsidRPr="00C91A2A">
        <w:rPr>
          <w:b/>
          <w:i/>
        </w:rPr>
        <w:t xml:space="preserve"> </w:t>
      </w:r>
      <w:r w:rsidR="00C3001D" w:rsidRPr="00C91A2A">
        <w:rPr>
          <w:b/>
          <w:i/>
        </w:rPr>
        <w:t>Einleitung</w:t>
      </w:r>
    </w:p>
    <w:p w14:paraId="6C16E16F" w14:textId="74713C19" w:rsidR="00C3001D" w:rsidRDefault="00C3001D">
      <w:r>
        <w:t>Ohne auf die wissenschaftlichen, methodisch-didaktischen Hintergründe dieses Artikels eingehen zu wollen, ist klar, dass  Hörverstehen mehr ist als die oben beschriebene</w:t>
      </w:r>
      <w:r w:rsidR="007B0872">
        <w:t>n</w:t>
      </w:r>
      <w:r>
        <w:t xml:space="preserve"> Aktivität</w:t>
      </w:r>
      <w:r w:rsidR="007B0872">
        <w:t>en</w:t>
      </w:r>
      <w:r>
        <w:t>. Natürlich wird das Hörverständnis in einem guten, einsprachigen Unterricht ständig eingeübt und überprüft. Allerdings kann nicht davon ausgegangen werden, dass die</w:t>
      </w:r>
      <w:r w:rsidR="008511DA">
        <w:t xml:space="preserve"> Schülerinnen und</w:t>
      </w:r>
      <w:r>
        <w:t xml:space="preserve"> Schüler, die von den verschiedensten Schulen und Schulformen ins 6-jährige Gymnasium wechseln, diese Erfahrungen bereits in ausreichender Anzahl gemacht haben. Daher erscheint es unerlässlich, in einem </w:t>
      </w:r>
      <w:r w:rsidR="00343367">
        <w:t>(</w:t>
      </w:r>
      <w:r>
        <w:t>mehrwöchigen</w:t>
      </w:r>
      <w:r w:rsidR="00343367">
        <w:t>)</w:t>
      </w:r>
      <w:r>
        <w:t xml:space="preserve"> Vorkurs (3 – 6 Wochen) bestimmte </w:t>
      </w:r>
      <w:r w:rsidR="007B0872">
        <w:t>Fertigkeiten zu überprüfen und gegebenenfalls zu trainieren</w:t>
      </w:r>
      <w:r w:rsidR="008511DA">
        <w:t>,</w:t>
      </w:r>
      <w:r w:rsidR="007B0872">
        <w:t xml:space="preserve"> um allen Schülern und Schülerinnen möglichst  gleiche Voraussetzungen für ein erfolgreiches Bestehen der Probezeit mitzugeben. In dieser Phase können auch bereits Einstufungen der erbrachten Leistungen vorgenommen werden.</w:t>
      </w:r>
    </w:p>
    <w:p w14:paraId="6C16E170" w14:textId="77777777" w:rsidR="00E1178B" w:rsidRPr="00C91A2A" w:rsidRDefault="00E1178B" w:rsidP="00C91A2A">
      <w:pPr>
        <w:pBdr>
          <w:bottom w:val="single" w:sz="4" w:space="1" w:color="auto"/>
        </w:pBdr>
        <w:rPr>
          <w:b/>
          <w:i/>
        </w:rPr>
      </w:pPr>
      <w:r w:rsidRPr="00C91A2A">
        <w:rPr>
          <w:b/>
          <w:i/>
        </w:rPr>
        <w:t>B – Vermittlungsmöglichkeiten</w:t>
      </w:r>
    </w:p>
    <w:p w14:paraId="6C16E171" w14:textId="77777777" w:rsidR="007B0872" w:rsidRDefault="007B0872">
      <w:r>
        <w:t xml:space="preserve">Im Folgenden wird noch einmal auf verschiedene Möglichkeiten eingegangen, mit denen </w:t>
      </w:r>
      <w:r w:rsidR="00343367">
        <w:t>‚</w:t>
      </w:r>
      <w:r>
        <w:t>Listening Skills</w:t>
      </w:r>
      <w:r w:rsidR="00343367">
        <w:t>‘</w:t>
      </w:r>
      <w:r>
        <w:t xml:space="preserve"> vermittelt und geübt werden können. Dabei werden gleichzeitig auch Beispiele der Organisation erklärt, bevor </w:t>
      </w:r>
      <w:r w:rsidR="00C91A2A">
        <w:t>zum Schluss</w:t>
      </w:r>
      <w:r>
        <w:t xml:space="preserve"> konkrete Beispiele folgen.</w:t>
      </w:r>
    </w:p>
    <w:p w14:paraId="6C16E172" w14:textId="77777777" w:rsidR="007B0872" w:rsidRPr="00C91A2A" w:rsidRDefault="007B0872" w:rsidP="007B0872">
      <w:pPr>
        <w:pStyle w:val="Listenabsatz"/>
        <w:numPr>
          <w:ilvl w:val="0"/>
          <w:numId w:val="1"/>
        </w:numPr>
        <w:rPr>
          <w:b/>
        </w:rPr>
      </w:pPr>
      <w:r w:rsidRPr="00C91A2A">
        <w:rPr>
          <w:b/>
        </w:rPr>
        <w:t>Interpersonelle Aktivitäten</w:t>
      </w:r>
      <w:r w:rsidR="001950CF">
        <w:rPr>
          <w:b/>
        </w:rPr>
        <w:t xml:space="preserve"> (face to face bis 10 Personen)</w:t>
      </w:r>
    </w:p>
    <w:p w14:paraId="6C16E173" w14:textId="35794FC0" w:rsidR="007B0872" w:rsidRDefault="007B0872" w:rsidP="007B0872">
      <w:pPr>
        <w:pStyle w:val="Listenabsatz"/>
      </w:pPr>
      <w:r>
        <w:t xml:space="preserve">Eine effektive und für die Schüler angenehme Art des Hörverstehen Übens sind sogenannte interpersonelle Übungsformen wie </w:t>
      </w:r>
      <w:r w:rsidR="007523F2">
        <w:t>Scheininterviews</w:t>
      </w:r>
      <w:r w:rsidR="00343367">
        <w:t xml:space="preserve"> (mock interviews)</w:t>
      </w:r>
      <w:r w:rsidR="007523F2">
        <w:t xml:space="preserve"> oder Geschichtenerzählen</w:t>
      </w:r>
      <w:r w:rsidR="00343367">
        <w:t xml:space="preserve"> (story telling)</w:t>
      </w:r>
      <w:r w:rsidR="007523F2">
        <w:t>. Dies kann</w:t>
      </w:r>
      <w:r w:rsidR="00343367">
        <w:t xml:space="preserve"> z.</w:t>
      </w:r>
      <w:r w:rsidR="008511DA">
        <w:t xml:space="preserve"> </w:t>
      </w:r>
      <w:r w:rsidR="00343367">
        <w:t>B.</w:t>
      </w:r>
      <w:r w:rsidR="007523F2">
        <w:t xml:space="preserve"> in Zweier- oder Dreiergruppen geschehen, wobei die </w:t>
      </w:r>
      <w:r w:rsidR="008511DA">
        <w:t xml:space="preserve">Schülerinnen und </w:t>
      </w:r>
      <w:r w:rsidR="007523F2">
        <w:t xml:space="preserve">Schüler einen genauen Auftrag erhalten und diesen versuchen umzusetzen. </w:t>
      </w:r>
      <w:r w:rsidR="001950CF">
        <w:t>Für größere Gruppen</w:t>
      </w:r>
      <w:r w:rsidR="00A8493D">
        <w:t xml:space="preserve"> sollte die Form des Stuhlkreises gewählt werden.</w:t>
      </w:r>
    </w:p>
    <w:p w14:paraId="6C16E174" w14:textId="35697B2C" w:rsidR="00DE1547" w:rsidRPr="00C91A2A" w:rsidRDefault="008511DA" w:rsidP="008F7D3A">
      <w:pPr>
        <w:pStyle w:val="Listenabsatz"/>
        <w:numPr>
          <w:ilvl w:val="0"/>
          <w:numId w:val="1"/>
        </w:numPr>
        <w:spacing w:after="0"/>
        <w:ind w:left="851"/>
        <w:rPr>
          <w:b/>
        </w:rPr>
      </w:pPr>
      <w:r>
        <w:rPr>
          <w:b/>
        </w:rPr>
        <w:t>Lehrer-Schüler-</w:t>
      </w:r>
      <w:r w:rsidR="00F43BD9" w:rsidRPr="00C91A2A">
        <w:rPr>
          <w:b/>
        </w:rPr>
        <w:t>Aktivitäten</w:t>
      </w:r>
    </w:p>
    <w:p w14:paraId="6C16E175" w14:textId="0D5B1FE0" w:rsidR="00865CAD" w:rsidRDefault="00B9330F" w:rsidP="008F7D3A">
      <w:pPr>
        <w:pStyle w:val="Listenabsatz"/>
        <w:spacing w:after="0"/>
        <w:ind w:left="709"/>
      </w:pPr>
      <w:r>
        <w:t>Bei den bisher beschriebenen Übungsformen hat d</w:t>
      </w:r>
      <w:r w:rsidR="008511DA">
        <w:t>i</w:t>
      </w:r>
      <w:r>
        <w:t>e Lehr</w:t>
      </w:r>
      <w:r w:rsidR="008511DA">
        <w:t>kraft</w:t>
      </w:r>
      <w:r>
        <w:t xml:space="preserve"> im eigentlichen Lernprozess keine aktive Rolle übernommen. Jetzt allerdings </w:t>
      </w:r>
      <w:r w:rsidR="00865CAD">
        <w:t>wird er Teil der aktiven Vermittlung. Hierfür stehen verschiedene Rollen zur Auswahl.</w:t>
      </w:r>
    </w:p>
    <w:p w14:paraId="6C16E176" w14:textId="0328AD0C" w:rsidR="00B9330F" w:rsidRPr="00DE1547" w:rsidRDefault="008511DA" w:rsidP="008F7D3A">
      <w:pPr>
        <w:pStyle w:val="Listenabsatz"/>
        <w:spacing w:after="0"/>
        <w:ind w:left="709"/>
      </w:pPr>
      <w:r>
        <w:t>Die Lehrerin oder d</w:t>
      </w:r>
      <w:r w:rsidR="00865CAD">
        <w:t xml:space="preserve">er Lehrer übernimmt die Rolle des </w:t>
      </w:r>
      <w:r w:rsidR="00865CAD" w:rsidRPr="00A8493D">
        <w:rPr>
          <w:b/>
        </w:rPr>
        <w:t>Vorlesers</w:t>
      </w:r>
      <w:r w:rsidR="00A8493D" w:rsidRPr="00A8493D">
        <w:rPr>
          <w:b/>
        </w:rPr>
        <w:t xml:space="preserve"> oder Regisseurs</w:t>
      </w:r>
      <w:r w:rsidR="00865CAD">
        <w:t>, nachdem die Schüler</w:t>
      </w:r>
      <w:r>
        <w:t>innen und Schüler</w:t>
      </w:r>
      <w:r w:rsidR="00865CAD">
        <w:t xml:space="preserve"> die Arbeitsaufgaben erhalten haben. Diese können Fragen zum Text (auf Deutsch oder Englisch) sein, die beispielsweise als </w:t>
      </w:r>
      <w:r w:rsidR="00343367">
        <w:t>‚</w:t>
      </w:r>
      <w:r w:rsidR="00865CAD">
        <w:t>True/False</w:t>
      </w:r>
      <w:r w:rsidR="00343367">
        <w:t>‘</w:t>
      </w:r>
      <w:r>
        <w:t>-</w:t>
      </w:r>
      <w:r w:rsidR="00865CAD">
        <w:t>Aufgaben oder Verständnisfragen formuliert sein können oder aber als angefangene Sätze, die die Schüler</w:t>
      </w:r>
      <w:r>
        <w:t>innen und Schüler</w:t>
      </w:r>
      <w:r w:rsidR="00865CAD">
        <w:t xml:space="preserve"> vervollständigen. </w:t>
      </w:r>
      <w:r w:rsidR="00A8493D">
        <w:t>Ü</w:t>
      </w:r>
      <w:r w:rsidR="00865CAD">
        <w:t>bernimmt</w:t>
      </w:r>
      <w:r>
        <w:t xml:space="preserve"> die Lehrkraft</w:t>
      </w:r>
      <w:r w:rsidR="00865CAD">
        <w:t xml:space="preserve"> die Rolle des </w:t>
      </w:r>
      <w:r w:rsidR="00865CAD" w:rsidRPr="00A8493D">
        <w:rPr>
          <w:b/>
        </w:rPr>
        <w:t>Regisseurs</w:t>
      </w:r>
      <w:r w:rsidR="00A8493D">
        <w:rPr>
          <w:b/>
        </w:rPr>
        <w:t>,</w:t>
      </w:r>
      <w:r w:rsidR="00865CAD">
        <w:t xml:space="preserve"> spielt</w:t>
      </w:r>
      <w:r>
        <w:t xml:space="preserve"> sie</w:t>
      </w:r>
      <w:r w:rsidR="00865CAD">
        <w:t xml:space="preserve"> Audio- oder Videosequenzen vor und bestimmt </w:t>
      </w:r>
      <w:r w:rsidR="00764D4F">
        <w:t>die Länge</w:t>
      </w:r>
      <w:r w:rsidR="00865CAD">
        <w:t xml:space="preserve"> </w:t>
      </w:r>
      <w:r w:rsidR="00A8493D">
        <w:t>wie</w:t>
      </w:r>
      <w:r w:rsidR="00865CAD">
        <w:t xml:space="preserve"> auch</w:t>
      </w:r>
      <w:r w:rsidR="00764D4F">
        <w:t xml:space="preserve"> die Pausengestaltung der Vorträge. Es ist wichtig, dass vor allem </w:t>
      </w:r>
      <w:r>
        <w:t>Lernende</w:t>
      </w:r>
      <w:r w:rsidR="00764D4F">
        <w:t xml:space="preserve"> ohne Vorkenntnisse dieser Aktivitäten genügend Zeit erhalten die gestellten Aufgaben zu erfüllen.</w:t>
      </w:r>
    </w:p>
    <w:p w14:paraId="6C16E177" w14:textId="23A919BF" w:rsidR="00764D4F" w:rsidRDefault="00FB4CB7" w:rsidP="00DE1547">
      <w:pPr>
        <w:pStyle w:val="Listenabsatz"/>
        <w:spacing w:after="0"/>
      </w:pPr>
      <w:r>
        <w:t>Z</w:t>
      </w:r>
      <w:r w:rsidR="00764D4F">
        <w:t>u Beginn der Übungsphase</w:t>
      </w:r>
      <w:r>
        <w:t xml:space="preserve"> sollten die Erwartungen</w:t>
      </w:r>
      <w:r w:rsidR="00764D4F">
        <w:t xml:space="preserve"> nicht zu hoch sein</w:t>
      </w:r>
      <w:r>
        <w:t>, d</w:t>
      </w:r>
      <w:r w:rsidR="00764D4F">
        <w:t>ie Aufgaben einfach und unzweideutig formuliert werden</w:t>
      </w:r>
      <w:r>
        <w:t xml:space="preserve"> und </w:t>
      </w:r>
      <w:r w:rsidR="008511DA">
        <w:t xml:space="preserve">es sollte </w:t>
      </w:r>
      <w:r>
        <w:t xml:space="preserve">die </w:t>
      </w:r>
      <w:r w:rsidR="00764D4F">
        <w:t xml:space="preserve">Möglichkeit </w:t>
      </w:r>
      <w:r w:rsidR="008511DA">
        <w:t>gegeben sein</w:t>
      </w:r>
      <w:r w:rsidR="00764D4F">
        <w:t xml:space="preserve"> ‚nachzufragen‘</w:t>
      </w:r>
      <w:r>
        <w:t>.</w:t>
      </w:r>
    </w:p>
    <w:p w14:paraId="6C16E178" w14:textId="77777777" w:rsidR="00FB4CB7" w:rsidRDefault="00FB4CB7" w:rsidP="00DE1547">
      <w:pPr>
        <w:pStyle w:val="Listenabsatz"/>
        <w:spacing w:after="0"/>
      </w:pPr>
    </w:p>
    <w:p w14:paraId="6C16E179" w14:textId="77777777" w:rsidR="00764D4F" w:rsidRPr="0003217A" w:rsidRDefault="00E1178B" w:rsidP="00CF3641">
      <w:pPr>
        <w:pStyle w:val="Listenabsatz"/>
        <w:pBdr>
          <w:bottom w:val="single" w:sz="4" w:space="1" w:color="auto"/>
        </w:pBdr>
        <w:spacing w:after="0"/>
        <w:ind w:left="0"/>
        <w:rPr>
          <w:b/>
          <w:i/>
        </w:rPr>
      </w:pPr>
      <w:r w:rsidRPr="0003217A">
        <w:rPr>
          <w:b/>
          <w:i/>
        </w:rPr>
        <w:t xml:space="preserve">C </w:t>
      </w:r>
      <w:r w:rsidR="00B45F48" w:rsidRPr="0003217A">
        <w:rPr>
          <w:b/>
          <w:i/>
        </w:rPr>
        <w:t>–</w:t>
      </w:r>
      <w:r w:rsidRPr="0003217A">
        <w:rPr>
          <w:b/>
          <w:i/>
        </w:rPr>
        <w:t xml:space="preserve"> </w:t>
      </w:r>
      <w:r w:rsidR="00B45F48" w:rsidRPr="0003217A">
        <w:rPr>
          <w:b/>
          <w:i/>
        </w:rPr>
        <w:t>Zusätzliche Informationen</w:t>
      </w:r>
    </w:p>
    <w:p w14:paraId="6C16E17A" w14:textId="77777777" w:rsidR="00B45F48" w:rsidRDefault="00B45F48" w:rsidP="00DE1547">
      <w:pPr>
        <w:pStyle w:val="Listenabsatz"/>
        <w:spacing w:after="0"/>
      </w:pPr>
    </w:p>
    <w:p w14:paraId="6C16E17B" w14:textId="294D87C9" w:rsidR="00B45F48" w:rsidRDefault="00B45F48" w:rsidP="00CF3641">
      <w:pPr>
        <w:pStyle w:val="Listenabsatz"/>
        <w:spacing w:after="0"/>
        <w:ind w:left="0"/>
      </w:pPr>
      <w:r>
        <w:t xml:space="preserve">Da nicht nur die (Schul-)Herkunft eine Rolle spielt, sondern auch das divergierende Alter der </w:t>
      </w:r>
      <w:r w:rsidR="008511DA">
        <w:t xml:space="preserve">Schülerinnen und </w:t>
      </w:r>
      <w:r>
        <w:t xml:space="preserve">Schüler, wird eine differenzierte Frage- bzw. Aufgabenstellung notwendig, damit </w:t>
      </w:r>
      <w:r>
        <w:lastRenderedPageBreak/>
        <w:t xml:space="preserve">sowohl im ‚oberen‘ als auch im ‚unteren‘ Segment der Leistungsstärke keine Schüler den Spaß an den Übungen verlieren. </w:t>
      </w:r>
    </w:p>
    <w:p w14:paraId="6C16E17C" w14:textId="1E5EE3DE" w:rsidR="008D332C" w:rsidRDefault="00343367" w:rsidP="00CF3641">
      <w:pPr>
        <w:pStyle w:val="Listenabsatz"/>
        <w:spacing w:after="0"/>
        <w:ind w:left="0"/>
      </w:pPr>
      <w:r>
        <w:t>D</w:t>
      </w:r>
      <w:r w:rsidR="00B45F48">
        <w:t>ie feste Aufbaustruktur der Hörverstehen</w:t>
      </w:r>
      <w:r w:rsidR="00647F94">
        <w:t>-A</w:t>
      </w:r>
      <w:r w:rsidR="00B45F48">
        <w:t xml:space="preserve">ufgaben hilft besonders den schwächeren und/oder </w:t>
      </w:r>
      <w:r w:rsidR="008511DA">
        <w:t xml:space="preserve">Schülerinnen und </w:t>
      </w:r>
      <w:r w:rsidR="00B45F48">
        <w:t>Schülern mit wenigen Vorkenntnissen, erfolgreich in die Thematik einzusteigen.</w:t>
      </w:r>
      <w:r w:rsidR="008D332C">
        <w:t xml:space="preserve"> Es bietet sich</w:t>
      </w:r>
      <w:r w:rsidR="002455A2">
        <w:t xml:space="preserve"> grundsätzlich</w:t>
      </w:r>
      <w:r w:rsidR="008D332C">
        <w:t xml:space="preserve"> folgende Vorgehensweise an:</w:t>
      </w:r>
    </w:p>
    <w:p w14:paraId="6C16E17D" w14:textId="77777777" w:rsidR="00A017D4" w:rsidRPr="00A017D4" w:rsidRDefault="00A017D4" w:rsidP="00CF3641">
      <w:pPr>
        <w:pStyle w:val="Listenabsatz"/>
        <w:numPr>
          <w:ilvl w:val="0"/>
          <w:numId w:val="5"/>
        </w:numPr>
        <w:spacing w:after="0"/>
        <w:ind w:left="0" w:firstLine="0"/>
        <w:rPr>
          <w:rFonts w:eastAsia="Times New Roman" w:cstheme="minorHAnsi"/>
          <w:szCs w:val="24"/>
          <w:lang w:eastAsia="de-DE"/>
        </w:rPr>
      </w:pPr>
      <w:r w:rsidRPr="00A017D4">
        <w:rPr>
          <w:rFonts w:eastAsia="Times New Roman" w:cstheme="minorHAnsi"/>
          <w:szCs w:val="24"/>
          <w:lang w:eastAsia="de-DE"/>
        </w:rPr>
        <w:t>warm-up activity</w:t>
      </w:r>
    </w:p>
    <w:p w14:paraId="6C16E17E" w14:textId="77777777" w:rsidR="00A017D4" w:rsidRPr="00A017D4" w:rsidRDefault="00A017D4" w:rsidP="00CF3641">
      <w:pPr>
        <w:pStyle w:val="Listenabsatz"/>
        <w:numPr>
          <w:ilvl w:val="0"/>
          <w:numId w:val="5"/>
        </w:numPr>
        <w:spacing w:after="0"/>
        <w:ind w:left="0" w:firstLine="0"/>
        <w:rPr>
          <w:rFonts w:eastAsia="Times New Roman" w:cstheme="minorHAnsi"/>
          <w:szCs w:val="24"/>
          <w:lang w:eastAsia="de-DE"/>
        </w:rPr>
      </w:pPr>
      <w:r w:rsidRPr="00A017D4">
        <w:rPr>
          <w:rFonts w:eastAsia="Times New Roman" w:cstheme="minorHAnsi"/>
          <w:szCs w:val="24"/>
          <w:lang w:eastAsia="de-DE"/>
        </w:rPr>
        <w:t xml:space="preserve">listening comprehension activity </w:t>
      </w:r>
    </w:p>
    <w:p w14:paraId="6C16E17F" w14:textId="77777777" w:rsidR="00A017D4" w:rsidRPr="00A017D4" w:rsidRDefault="00A017D4" w:rsidP="00CF3641">
      <w:pPr>
        <w:pStyle w:val="Listenabsatz"/>
        <w:numPr>
          <w:ilvl w:val="0"/>
          <w:numId w:val="5"/>
        </w:numPr>
        <w:spacing w:after="0"/>
        <w:ind w:left="0" w:firstLine="0"/>
        <w:rPr>
          <w:rFonts w:eastAsia="Times New Roman" w:cstheme="minorHAnsi"/>
          <w:szCs w:val="24"/>
          <w:lang w:eastAsia="de-DE"/>
        </w:rPr>
      </w:pPr>
      <w:r w:rsidRPr="00A017D4">
        <w:rPr>
          <w:rFonts w:eastAsia="Times New Roman" w:cstheme="minorHAnsi"/>
          <w:szCs w:val="24"/>
          <w:lang w:eastAsia="de-DE"/>
        </w:rPr>
        <w:t xml:space="preserve">controlled practice </w:t>
      </w:r>
    </w:p>
    <w:p w14:paraId="6C16E180" w14:textId="21ACBEC0" w:rsidR="00A017D4" w:rsidRPr="00545512" w:rsidRDefault="00A017D4" w:rsidP="00CF3641">
      <w:pPr>
        <w:pStyle w:val="Listenabsatz"/>
        <w:numPr>
          <w:ilvl w:val="0"/>
          <w:numId w:val="5"/>
        </w:numPr>
        <w:spacing w:after="0"/>
        <w:ind w:left="0" w:firstLine="0"/>
        <w:rPr>
          <w:rFonts w:eastAsia="Times New Roman" w:cstheme="minorHAnsi"/>
          <w:szCs w:val="24"/>
          <w:lang w:val="en-US" w:eastAsia="de-DE"/>
        </w:rPr>
      </w:pPr>
      <w:r w:rsidRPr="00545512">
        <w:rPr>
          <w:rFonts w:eastAsia="Times New Roman" w:cstheme="minorHAnsi"/>
          <w:szCs w:val="24"/>
          <w:lang w:val="en-US" w:eastAsia="de-DE"/>
        </w:rPr>
        <w:t>open-en</w:t>
      </w:r>
      <w:r w:rsidR="008511DA">
        <w:rPr>
          <w:rFonts w:eastAsia="Times New Roman" w:cstheme="minorHAnsi"/>
          <w:szCs w:val="24"/>
          <w:lang w:val="en-US" w:eastAsia="de-DE"/>
        </w:rPr>
        <w:t>ded listening/speaking activity</w:t>
      </w:r>
      <w:bookmarkStart w:id="0" w:name="_GoBack"/>
      <w:bookmarkEnd w:id="0"/>
    </w:p>
    <w:p w14:paraId="6C16E181" w14:textId="77777777" w:rsidR="00154C82" w:rsidRPr="00545512" w:rsidRDefault="00154C82" w:rsidP="00597EA4">
      <w:pPr>
        <w:pStyle w:val="Listenabsatz"/>
        <w:spacing w:after="0"/>
        <w:rPr>
          <w:lang w:val="en-US"/>
        </w:rPr>
      </w:pPr>
    </w:p>
    <w:p w14:paraId="6C16E182" w14:textId="77777777" w:rsidR="006C4687" w:rsidRPr="00545512" w:rsidRDefault="006C4687" w:rsidP="00F30FFF">
      <w:pPr>
        <w:spacing w:after="0"/>
        <w:rPr>
          <w:lang w:val="en-US"/>
        </w:rPr>
      </w:pPr>
    </w:p>
    <w:sectPr w:rsidR="006C4687" w:rsidRPr="00545512" w:rsidSect="008F7D3A">
      <w:headerReference w:type="defaul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19F73" w14:textId="77777777" w:rsidR="00A32E3F" w:rsidRDefault="00A32E3F" w:rsidP="00574906">
      <w:pPr>
        <w:spacing w:after="0" w:line="240" w:lineRule="auto"/>
      </w:pPr>
      <w:r>
        <w:separator/>
      </w:r>
    </w:p>
  </w:endnote>
  <w:endnote w:type="continuationSeparator" w:id="0">
    <w:p w14:paraId="11855A82" w14:textId="77777777" w:rsidR="00A32E3F" w:rsidRDefault="00A32E3F" w:rsidP="0057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893AC" w14:textId="77777777" w:rsidR="00A32E3F" w:rsidRDefault="00A32E3F" w:rsidP="00574906">
      <w:pPr>
        <w:spacing w:after="0" w:line="240" w:lineRule="auto"/>
      </w:pPr>
      <w:r>
        <w:separator/>
      </w:r>
    </w:p>
  </w:footnote>
  <w:footnote w:type="continuationSeparator" w:id="0">
    <w:p w14:paraId="15D48985" w14:textId="77777777" w:rsidR="00A32E3F" w:rsidRDefault="00A32E3F" w:rsidP="0057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645121"/>
      <w:docPartObj>
        <w:docPartGallery w:val="Page Numbers (Top of Page)"/>
        <w:docPartUnique/>
      </w:docPartObj>
    </w:sdtPr>
    <w:sdtEndPr/>
    <w:sdtContent>
      <w:p w14:paraId="6C16E187" w14:textId="77777777" w:rsidR="00574906" w:rsidRDefault="0057490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DA">
          <w:rPr>
            <w:noProof/>
          </w:rPr>
          <w:t>2</w:t>
        </w:r>
        <w:r>
          <w:fldChar w:fldCharType="end"/>
        </w:r>
      </w:p>
    </w:sdtContent>
  </w:sdt>
  <w:p w14:paraId="6C16E188" w14:textId="77777777" w:rsidR="00574906" w:rsidRDefault="005749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F21"/>
    <w:multiLevelType w:val="hybridMultilevel"/>
    <w:tmpl w:val="82E2C120"/>
    <w:lvl w:ilvl="0" w:tplc="04070015">
      <w:start w:val="1"/>
      <w:numFmt w:val="decimal"/>
      <w:lvlText w:val="(%1)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3D15A98"/>
    <w:multiLevelType w:val="hybridMultilevel"/>
    <w:tmpl w:val="F1D8B44E"/>
    <w:lvl w:ilvl="0" w:tplc="516C31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6B255CE"/>
    <w:multiLevelType w:val="multilevel"/>
    <w:tmpl w:val="0A74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36FF7"/>
    <w:multiLevelType w:val="hybridMultilevel"/>
    <w:tmpl w:val="39A8588E"/>
    <w:lvl w:ilvl="0" w:tplc="F286B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60498"/>
    <w:multiLevelType w:val="hybridMultilevel"/>
    <w:tmpl w:val="EE4EB8B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D"/>
    <w:rsid w:val="0003217A"/>
    <w:rsid w:val="0004410E"/>
    <w:rsid w:val="000719C2"/>
    <w:rsid w:val="00075691"/>
    <w:rsid w:val="00154C82"/>
    <w:rsid w:val="0019387B"/>
    <w:rsid w:val="001950CF"/>
    <w:rsid w:val="001A7D0C"/>
    <w:rsid w:val="002455A2"/>
    <w:rsid w:val="002F09C6"/>
    <w:rsid w:val="00343367"/>
    <w:rsid w:val="004032E1"/>
    <w:rsid w:val="00513C36"/>
    <w:rsid w:val="00545512"/>
    <w:rsid w:val="00574906"/>
    <w:rsid w:val="00597EA4"/>
    <w:rsid w:val="00647F94"/>
    <w:rsid w:val="00690173"/>
    <w:rsid w:val="006C4687"/>
    <w:rsid w:val="007523F2"/>
    <w:rsid w:val="00764D4F"/>
    <w:rsid w:val="007B0872"/>
    <w:rsid w:val="0080602B"/>
    <w:rsid w:val="008511DA"/>
    <w:rsid w:val="00865CAD"/>
    <w:rsid w:val="00865F33"/>
    <w:rsid w:val="008A2264"/>
    <w:rsid w:val="008D332C"/>
    <w:rsid w:val="008F7D3A"/>
    <w:rsid w:val="00A017D4"/>
    <w:rsid w:val="00A32E3F"/>
    <w:rsid w:val="00A8493D"/>
    <w:rsid w:val="00A852BC"/>
    <w:rsid w:val="00AD69F1"/>
    <w:rsid w:val="00B45F48"/>
    <w:rsid w:val="00B9330F"/>
    <w:rsid w:val="00BB7471"/>
    <w:rsid w:val="00C06A05"/>
    <w:rsid w:val="00C3001D"/>
    <w:rsid w:val="00C91A2A"/>
    <w:rsid w:val="00CF3641"/>
    <w:rsid w:val="00D34DCB"/>
    <w:rsid w:val="00DE1547"/>
    <w:rsid w:val="00E1178B"/>
    <w:rsid w:val="00E504A7"/>
    <w:rsid w:val="00EF2436"/>
    <w:rsid w:val="00F30FFF"/>
    <w:rsid w:val="00F43BD9"/>
    <w:rsid w:val="00F57BD8"/>
    <w:rsid w:val="00F673CC"/>
    <w:rsid w:val="00FA6394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E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08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906"/>
  </w:style>
  <w:style w:type="paragraph" w:styleId="Fuzeile">
    <w:name w:val="footer"/>
    <w:basedOn w:val="Standard"/>
    <w:link w:val="FuzeileZchn"/>
    <w:uiPriority w:val="99"/>
    <w:unhideWhenUsed/>
    <w:rsid w:val="0057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906"/>
  </w:style>
  <w:style w:type="table" w:styleId="Tabellenraster">
    <w:name w:val="Table Grid"/>
    <w:basedOn w:val="NormaleTabelle"/>
    <w:uiPriority w:val="59"/>
    <w:rsid w:val="00F5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08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906"/>
  </w:style>
  <w:style w:type="paragraph" w:styleId="Fuzeile">
    <w:name w:val="footer"/>
    <w:basedOn w:val="Standard"/>
    <w:link w:val="FuzeileZchn"/>
    <w:uiPriority w:val="99"/>
    <w:unhideWhenUsed/>
    <w:rsid w:val="0057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906"/>
  </w:style>
  <w:style w:type="table" w:styleId="Tabellenraster">
    <w:name w:val="Table Grid"/>
    <w:basedOn w:val="NormaleTabelle"/>
    <w:uiPriority w:val="59"/>
    <w:rsid w:val="00F5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D89B-1CD3-4E24-B187-E93E4FDDA1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9CB5C8-661E-41EE-BAAA-95A5413C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A18477-8FC5-4519-AC90-CCE2768B5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C8E50-531B-4AC4-94CE-02179D6F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Maisch, Steffen (LS)</cp:lastModifiedBy>
  <cp:revision>2</cp:revision>
  <dcterms:created xsi:type="dcterms:W3CDTF">2013-05-08T09:39:00Z</dcterms:created>
  <dcterms:modified xsi:type="dcterms:W3CDTF">2013-05-08T09:39:00Z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