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17F" w:rsidRPr="0005217F" w:rsidRDefault="00A0618C" w:rsidP="0005217F">
      <w:pPr>
        <w:pStyle w:val="1berschrift"/>
      </w:pPr>
      <w:r>
        <w:t xml:space="preserve">3.2 </w:t>
      </w:r>
      <w:proofErr w:type="spellStart"/>
      <w:r>
        <w:t>Arbeitsblatt</w:t>
      </w:r>
      <w:proofErr w:type="spellEnd"/>
      <w:r>
        <w:t>: Model summa</w:t>
      </w:r>
      <w:r w:rsidR="0005217F" w:rsidRPr="0005217F">
        <w:t xml:space="preserve">ry </w:t>
      </w:r>
    </w:p>
    <w:p w:rsidR="00BB754A" w:rsidRPr="00F350CB" w:rsidRDefault="003950E9" w:rsidP="00F350CB">
      <w:pPr>
        <w:rPr>
          <w:b/>
        </w:rPr>
      </w:pPr>
      <w:r w:rsidRPr="00F350CB">
        <w:rPr>
          <w:b/>
        </w:rPr>
        <w:t>Europe in a nutshell</w:t>
      </w:r>
    </w:p>
    <w:p w:rsidR="003950E9" w:rsidRPr="00696A5E" w:rsidRDefault="003950E9" w:rsidP="0005217F">
      <w:pPr>
        <w:pStyle w:val="1berschrift"/>
      </w:pPr>
      <w:r w:rsidRPr="00696A5E">
        <w:t>Founding the Europe</w:t>
      </w:r>
      <w:r w:rsidR="00471937">
        <w:t>an</w:t>
      </w:r>
      <w:r w:rsidR="00B9034A" w:rsidRPr="00696A5E">
        <w:t xml:space="preserve"> Union</w:t>
      </w:r>
    </w:p>
    <w:p w:rsidR="00AB1FDD" w:rsidRDefault="003950E9" w:rsidP="004C02B6">
      <w:pPr>
        <w:spacing w:line="320" w:lineRule="atLeast"/>
        <w:rPr>
          <w:rFonts w:ascii="Arial" w:hAnsi="Arial" w:cs="Arial"/>
          <w:sz w:val="22"/>
          <w:szCs w:val="22"/>
        </w:rPr>
      </w:pPr>
      <w:r>
        <w:rPr>
          <w:rFonts w:ascii="Arial" w:hAnsi="Arial" w:cs="Arial"/>
          <w:sz w:val="22"/>
          <w:szCs w:val="22"/>
        </w:rPr>
        <w:t xml:space="preserve">The European </w:t>
      </w:r>
      <w:r w:rsidRPr="00774369">
        <w:rPr>
          <w:rFonts w:ascii="Arial" w:hAnsi="Arial" w:cs="Arial"/>
          <w:b/>
          <w:sz w:val="22"/>
          <w:szCs w:val="22"/>
        </w:rPr>
        <w:t>Coal and Steel Community</w:t>
      </w:r>
      <w:r>
        <w:rPr>
          <w:rFonts w:ascii="Arial" w:hAnsi="Arial" w:cs="Arial"/>
          <w:sz w:val="22"/>
          <w:szCs w:val="22"/>
        </w:rPr>
        <w:t xml:space="preserve"> was founded </w:t>
      </w:r>
      <w:r w:rsidR="00924B47">
        <w:rPr>
          <w:rFonts w:ascii="Arial" w:hAnsi="Arial" w:cs="Arial"/>
          <w:sz w:val="22"/>
          <w:szCs w:val="22"/>
        </w:rPr>
        <w:t xml:space="preserve">in 1951 </w:t>
      </w:r>
      <w:r>
        <w:rPr>
          <w:rFonts w:ascii="Arial" w:hAnsi="Arial" w:cs="Arial"/>
          <w:sz w:val="22"/>
          <w:szCs w:val="22"/>
        </w:rPr>
        <w:t>by six countries: Belgium, France, Germany, Italy</w:t>
      </w:r>
      <w:r w:rsidR="000B788B">
        <w:rPr>
          <w:rFonts w:ascii="Arial" w:hAnsi="Arial" w:cs="Arial"/>
          <w:sz w:val="22"/>
          <w:szCs w:val="22"/>
        </w:rPr>
        <w:t>,</w:t>
      </w:r>
      <w:r>
        <w:rPr>
          <w:rFonts w:ascii="Arial" w:hAnsi="Arial" w:cs="Arial"/>
          <w:sz w:val="22"/>
          <w:szCs w:val="22"/>
        </w:rPr>
        <w:t xml:space="preserve"> Luxembourg and the Netherlands. They wanted to prevent further wars in Europe by </w:t>
      </w:r>
      <w:r w:rsidR="00924B47">
        <w:rPr>
          <w:rFonts w:ascii="Arial" w:hAnsi="Arial" w:cs="Arial"/>
          <w:sz w:val="22"/>
          <w:szCs w:val="22"/>
        </w:rPr>
        <w:t>pooling their coal and steel production and thus controlling the raw materials of weapons.</w:t>
      </w:r>
    </w:p>
    <w:p w:rsidR="00924B47" w:rsidRDefault="00774369" w:rsidP="004C02B6">
      <w:pPr>
        <w:spacing w:line="320" w:lineRule="atLeast"/>
        <w:rPr>
          <w:rFonts w:ascii="Arial" w:hAnsi="Arial" w:cs="Arial"/>
          <w:sz w:val="22"/>
          <w:szCs w:val="22"/>
        </w:rPr>
      </w:pPr>
      <w:r>
        <w:rPr>
          <w:rFonts w:ascii="Arial" w:hAnsi="Arial" w:cs="Arial"/>
          <w:sz w:val="22"/>
          <w:szCs w:val="22"/>
        </w:rPr>
        <w:t xml:space="preserve">Soon after </w:t>
      </w:r>
      <w:r w:rsidR="00924B47">
        <w:rPr>
          <w:rFonts w:ascii="Arial" w:hAnsi="Arial" w:cs="Arial"/>
          <w:sz w:val="22"/>
          <w:szCs w:val="22"/>
        </w:rPr>
        <w:t>they decided to increase their cooperation</w:t>
      </w:r>
      <w:r>
        <w:rPr>
          <w:rFonts w:ascii="Arial" w:hAnsi="Arial" w:cs="Arial"/>
          <w:sz w:val="22"/>
          <w:szCs w:val="22"/>
        </w:rPr>
        <w:t xml:space="preserve"> and </w:t>
      </w:r>
      <w:r w:rsidR="00924B47">
        <w:rPr>
          <w:rFonts w:ascii="Arial" w:hAnsi="Arial" w:cs="Arial"/>
          <w:sz w:val="22"/>
          <w:szCs w:val="22"/>
        </w:rPr>
        <w:t xml:space="preserve">set up the </w:t>
      </w:r>
      <w:r w:rsidR="00924B47" w:rsidRPr="00774369">
        <w:rPr>
          <w:rFonts w:ascii="Arial" w:hAnsi="Arial" w:cs="Arial"/>
          <w:b/>
          <w:sz w:val="22"/>
          <w:szCs w:val="22"/>
        </w:rPr>
        <w:t>European Economic Community</w:t>
      </w:r>
      <w:r w:rsidR="00924B47">
        <w:rPr>
          <w:rFonts w:ascii="Arial" w:hAnsi="Arial" w:cs="Arial"/>
          <w:sz w:val="22"/>
          <w:szCs w:val="22"/>
        </w:rPr>
        <w:t xml:space="preserve"> (EEC) </w:t>
      </w:r>
      <w:r>
        <w:rPr>
          <w:rFonts w:ascii="Arial" w:hAnsi="Arial" w:cs="Arial"/>
          <w:sz w:val="22"/>
          <w:szCs w:val="22"/>
        </w:rPr>
        <w:t>in order to create a common market. This means that they could trade freely across borders without any obstacles like border checks and customs.</w:t>
      </w:r>
    </w:p>
    <w:p w:rsidR="00774369" w:rsidRDefault="00774369" w:rsidP="004C02B6">
      <w:pPr>
        <w:spacing w:line="320" w:lineRule="atLeast"/>
        <w:rPr>
          <w:rFonts w:ascii="Arial" w:hAnsi="Arial" w:cs="Arial"/>
          <w:sz w:val="22"/>
          <w:szCs w:val="22"/>
        </w:rPr>
      </w:pPr>
      <w:r>
        <w:rPr>
          <w:rFonts w:ascii="Arial" w:hAnsi="Arial" w:cs="Arial"/>
          <w:sz w:val="22"/>
          <w:szCs w:val="22"/>
        </w:rPr>
        <w:t xml:space="preserve">When the EEC changed its name to </w:t>
      </w:r>
      <w:r>
        <w:rPr>
          <w:rFonts w:ascii="Arial" w:hAnsi="Arial" w:cs="Arial"/>
          <w:b/>
          <w:sz w:val="22"/>
          <w:szCs w:val="22"/>
        </w:rPr>
        <w:t>European Union (EU)</w:t>
      </w:r>
      <w:r>
        <w:rPr>
          <w:rFonts w:ascii="Arial" w:hAnsi="Arial" w:cs="Arial"/>
          <w:sz w:val="22"/>
          <w:szCs w:val="22"/>
        </w:rPr>
        <w:t xml:space="preserve"> the community had increased in member countries and </w:t>
      </w:r>
      <w:r w:rsidR="00B9034A">
        <w:rPr>
          <w:rFonts w:ascii="Arial" w:hAnsi="Arial" w:cs="Arial"/>
          <w:sz w:val="22"/>
          <w:szCs w:val="22"/>
        </w:rPr>
        <w:t>many areas</w:t>
      </w:r>
      <w:r>
        <w:rPr>
          <w:rFonts w:ascii="Arial" w:hAnsi="Arial" w:cs="Arial"/>
          <w:sz w:val="22"/>
          <w:szCs w:val="22"/>
        </w:rPr>
        <w:t xml:space="preserve"> of cooperation</w:t>
      </w:r>
      <w:r w:rsidR="00B9034A">
        <w:rPr>
          <w:rFonts w:ascii="Arial" w:hAnsi="Arial" w:cs="Arial"/>
          <w:sz w:val="22"/>
          <w:szCs w:val="22"/>
        </w:rPr>
        <w:t>,</w:t>
      </w:r>
      <w:r>
        <w:rPr>
          <w:rFonts w:ascii="Arial" w:hAnsi="Arial" w:cs="Arial"/>
          <w:sz w:val="22"/>
          <w:szCs w:val="22"/>
        </w:rPr>
        <w:t xml:space="preserve"> like e.g. environmental </w:t>
      </w:r>
      <w:r w:rsidR="00B9034A">
        <w:rPr>
          <w:rFonts w:ascii="Arial" w:hAnsi="Arial" w:cs="Arial"/>
          <w:sz w:val="22"/>
          <w:szCs w:val="22"/>
        </w:rPr>
        <w:t>p</w:t>
      </w:r>
      <w:r>
        <w:rPr>
          <w:rFonts w:ascii="Arial" w:hAnsi="Arial" w:cs="Arial"/>
          <w:sz w:val="22"/>
          <w:szCs w:val="22"/>
        </w:rPr>
        <w:t>rotection and infrastructure</w:t>
      </w:r>
      <w:r w:rsidR="00B9034A">
        <w:rPr>
          <w:rFonts w:ascii="Arial" w:hAnsi="Arial" w:cs="Arial"/>
          <w:sz w:val="22"/>
          <w:szCs w:val="22"/>
        </w:rPr>
        <w:t>. The end of the Cold War ended the separation between the eastern and western parts of Europe and many more, amongst them former communist countries, have joined the European Union. Meanwhile there are 28 members.</w:t>
      </w:r>
    </w:p>
    <w:p w:rsidR="00B9034A" w:rsidRPr="00696A5E" w:rsidRDefault="00B9034A" w:rsidP="004C02B6">
      <w:pPr>
        <w:spacing w:line="320" w:lineRule="atLeast"/>
        <w:rPr>
          <w:rFonts w:ascii="Arial" w:hAnsi="Arial" w:cs="Arial"/>
          <w:sz w:val="22"/>
          <w:szCs w:val="22"/>
          <w:u w:val="single"/>
        </w:rPr>
      </w:pPr>
      <w:r w:rsidRPr="00696A5E">
        <w:rPr>
          <w:rFonts w:ascii="Arial" w:hAnsi="Arial" w:cs="Arial"/>
          <w:sz w:val="22"/>
          <w:szCs w:val="22"/>
          <w:u w:val="single"/>
        </w:rPr>
        <w:t>What the European Union does today</w:t>
      </w:r>
    </w:p>
    <w:p w:rsidR="00B9034A" w:rsidRDefault="00C44369" w:rsidP="004C02B6">
      <w:pPr>
        <w:spacing w:line="320" w:lineRule="atLeast"/>
        <w:rPr>
          <w:rFonts w:ascii="Arial" w:hAnsi="Arial" w:cs="Arial"/>
          <w:sz w:val="22"/>
          <w:szCs w:val="22"/>
        </w:rPr>
      </w:pPr>
      <w:r>
        <w:rPr>
          <w:rFonts w:ascii="Arial" w:hAnsi="Arial" w:cs="Arial"/>
          <w:sz w:val="22"/>
          <w:szCs w:val="22"/>
        </w:rPr>
        <w:t>The idea of the EU is to make life easier for us. Here are some examples:</w:t>
      </w:r>
    </w:p>
    <w:p w:rsidR="00C44369" w:rsidRDefault="00C44369" w:rsidP="004C02B6">
      <w:pPr>
        <w:pStyle w:val="Listenabsatz"/>
        <w:numPr>
          <w:ilvl w:val="0"/>
          <w:numId w:val="1"/>
        </w:numPr>
        <w:spacing w:line="320" w:lineRule="atLeast"/>
        <w:rPr>
          <w:rFonts w:ascii="Arial" w:hAnsi="Arial" w:cs="Arial"/>
          <w:sz w:val="22"/>
          <w:szCs w:val="22"/>
        </w:rPr>
      </w:pPr>
      <w:r w:rsidRPr="00C44369">
        <w:rPr>
          <w:rFonts w:ascii="Arial" w:hAnsi="Arial" w:cs="Arial"/>
          <w:sz w:val="22"/>
          <w:szCs w:val="22"/>
        </w:rPr>
        <w:t xml:space="preserve">People are free to live, work and study in any of the EU member countries. They don’t need passports when crossing national borders within the union. </w:t>
      </w:r>
    </w:p>
    <w:p w:rsidR="00C44369" w:rsidRDefault="00C44369" w:rsidP="004C02B6">
      <w:pPr>
        <w:pStyle w:val="Listenabsatz"/>
        <w:numPr>
          <w:ilvl w:val="0"/>
          <w:numId w:val="1"/>
        </w:numPr>
        <w:spacing w:line="320" w:lineRule="atLeast"/>
        <w:rPr>
          <w:rFonts w:ascii="Arial" w:hAnsi="Arial" w:cs="Arial"/>
          <w:sz w:val="22"/>
          <w:szCs w:val="22"/>
        </w:rPr>
      </w:pPr>
      <w:r>
        <w:rPr>
          <w:rFonts w:ascii="Arial" w:hAnsi="Arial" w:cs="Arial"/>
          <w:sz w:val="22"/>
          <w:szCs w:val="22"/>
        </w:rPr>
        <w:t>Many EU countries use one single currency, the euro</w:t>
      </w:r>
      <w:r w:rsidR="00F02D83">
        <w:rPr>
          <w:rFonts w:ascii="Arial" w:hAnsi="Arial" w:cs="Arial"/>
          <w:sz w:val="22"/>
          <w:szCs w:val="22"/>
        </w:rPr>
        <w:t>.</w:t>
      </w:r>
    </w:p>
    <w:p w:rsidR="00C44369" w:rsidRDefault="00C44369" w:rsidP="004C02B6">
      <w:pPr>
        <w:pStyle w:val="Listenabsatz"/>
        <w:numPr>
          <w:ilvl w:val="0"/>
          <w:numId w:val="1"/>
        </w:numPr>
        <w:spacing w:line="320" w:lineRule="atLeast"/>
        <w:rPr>
          <w:rFonts w:ascii="Arial" w:hAnsi="Arial" w:cs="Arial"/>
          <w:sz w:val="22"/>
          <w:szCs w:val="22"/>
        </w:rPr>
      </w:pPr>
      <w:r>
        <w:rPr>
          <w:rFonts w:ascii="Arial" w:hAnsi="Arial" w:cs="Arial"/>
          <w:sz w:val="22"/>
          <w:szCs w:val="22"/>
        </w:rPr>
        <w:t xml:space="preserve">Poorer regions within the EU and </w:t>
      </w:r>
      <w:proofErr w:type="spellStart"/>
      <w:r>
        <w:rPr>
          <w:rFonts w:ascii="Arial" w:hAnsi="Arial" w:cs="Arial"/>
          <w:sz w:val="22"/>
          <w:szCs w:val="22"/>
        </w:rPr>
        <w:t>neighbouring</w:t>
      </w:r>
      <w:proofErr w:type="spellEnd"/>
      <w:r>
        <w:rPr>
          <w:rFonts w:ascii="Arial" w:hAnsi="Arial" w:cs="Arial"/>
          <w:sz w:val="22"/>
          <w:szCs w:val="22"/>
        </w:rPr>
        <w:t xml:space="preserve"> countries are provided with money </w:t>
      </w:r>
      <w:r w:rsidR="00681590">
        <w:rPr>
          <w:rFonts w:ascii="Arial" w:hAnsi="Arial" w:cs="Arial"/>
          <w:sz w:val="22"/>
          <w:szCs w:val="22"/>
        </w:rPr>
        <w:t xml:space="preserve">and know-how </w:t>
      </w:r>
      <w:r>
        <w:rPr>
          <w:rFonts w:ascii="Arial" w:hAnsi="Arial" w:cs="Arial"/>
          <w:sz w:val="22"/>
          <w:szCs w:val="22"/>
        </w:rPr>
        <w:t>to improve their infrastructure, schools, hospitals and social protection</w:t>
      </w:r>
      <w:r w:rsidR="00F02D83">
        <w:rPr>
          <w:rFonts w:ascii="Arial" w:hAnsi="Arial" w:cs="Arial"/>
          <w:sz w:val="22"/>
          <w:szCs w:val="22"/>
        </w:rPr>
        <w:t>.</w:t>
      </w:r>
    </w:p>
    <w:p w:rsidR="00681590" w:rsidRDefault="00681590" w:rsidP="004C02B6">
      <w:pPr>
        <w:pStyle w:val="Listenabsatz"/>
        <w:numPr>
          <w:ilvl w:val="0"/>
          <w:numId w:val="1"/>
        </w:numPr>
        <w:spacing w:line="320" w:lineRule="atLeast"/>
        <w:rPr>
          <w:rFonts w:ascii="Arial" w:hAnsi="Arial" w:cs="Arial"/>
          <w:sz w:val="22"/>
          <w:szCs w:val="22"/>
        </w:rPr>
      </w:pPr>
      <w:r>
        <w:rPr>
          <w:rFonts w:ascii="Arial" w:hAnsi="Arial" w:cs="Arial"/>
          <w:sz w:val="22"/>
          <w:szCs w:val="22"/>
        </w:rPr>
        <w:t xml:space="preserve">Furthermore the EU </w:t>
      </w:r>
      <w:r w:rsidR="00114B04">
        <w:rPr>
          <w:rFonts w:ascii="Arial" w:hAnsi="Arial" w:cs="Arial"/>
          <w:sz w:val="22"/>
          <w:szCs w:val="22"/>
        </w:rPr>
        <w:t>works on</w:t>
      </w:r>
      <w:r>
        <w:rPr>
          <w:rFonts w:ascii="Arial" w:hAnsi="Arial" w:cs="Arial"/>
          <w:sz w:val="22"/>
          <w:szCs w:val="22"/>
        </w:rPr>
        <w:t xml:space="preserve"> environ</w:t>
      </w:r>
      <w:r w:rsidR="00114B04">
        <w:rPr>
          <w:rFonts w:ascii="Arial" w:hAnsi="Arial" w:cs="Arial"/>
          <w:sz w:val="22"/>
          <w:szCs w:val="22"/>
        </w:rPr>
        <w:t xml:space="preserve">mental and consumer protection and improves many more things of </w:t>
      </w:r>
      <w:r>
        <w:rPr>
          <w:rFonts w:ascii="Arial" w:hAnsi="Arial" w:cs="Arial"/>
          <w:sz w:val="22"/>
          <w:szCs w:val="22"/>
        </w:rPr>
        <w:t>our daily lives.</w:t>
      </w:r>
    </w:p>
    <w:p w:rsidR="00F02D83" w:rsidRPr="00696A5E" w:rsidRDefault="00F02D83" w:rsidP="004C02B6">
      <w:pPr>
        <w:spacing w:line="320" w:lineRule="atLeast"/>
        <w:rPr>
          <w:rFonts w:ascii="Arial" w:hAnsi="Arial" w:cs="Arial"/>
          <w:sz w:val="22"/>
          <w:szCs w:val="22"/>
          <w:u w:val="single"/>
        </w:rPr>
      </w:pPr>
      <w:r w:rsidRPr="00696A5E">
        <w:rPr>
          <w:rFonts w:ascii="Arial" w:hAnsi="Arial" w:cs="Arial"/>
          <w:sz w:val="22"/>
          <w:szCs w:val="22"/>
          <w:u w:val="single"/>
        </w:rPr>
        <w:t>How the European Union makes decisions</w:t>
      </w:r>
    </w:p>
    <w:p w:rsidR="005263C6" w:rsidRPr="00696A5E" w:rsidRDefault="005263C6" w:rsidP="004C02B6">
      <w:pPr>
        <w:spacing w:line="320" w:lineRule="atLeast"/>
        <w:rPr>
          <w:rFonts w:ascii="Arial" w:hAnsi="Arial" w:cs="Arial"/>
          <w:sz w:val="22"/>
          <w:szCs w:val="22"/>
        </w:rPr>
      </w:pPr>
      <w:r>
        <w:rPr>
          <w:rFonts w:ascii="Arial" w:hAnsi="Arial" w:cs="Arial"/>
          <w:sz w:val="22"/>
          <w:szCs w:val="22"/>
        </w:rPr>
        <w:t>Laws in the European Union are made by three cooperating institutions: The European Commission, The European Parliament and the Council.</w:t>
      </w:r>
      <w:r w:rsidR="00696A5E">
        <w:rPr>
          <w:rFonts w:ascii="Arial" w:hAnsi="Arial" w:cs="Arial"/>
          <w:sz w:val="22"/>
          <w:szCs w:val="22"/>
        </w:rPr>
        <w:t xml:space="preserve"> </w:t>
      </w:r>
      <w:r w:rsidR="00696A5E">
        <w:rPr>
          <w:rFonts w:ascii="Arial" w:hAnsi="Arial" w:cs="Arial"/>
          <w:b/>
          <w:sz w:val="22"/>
          <w:szCs w:val="22"/>
        </w:rPr>
        <w:t>The Court of Justice</w:t>
      </w:r>
      <w:r w:rsidR="00696A5E">
        <w:rPr>
          <w:rFonts w:ascii="Arial" w:hAnsi="Arial" w:cs="Arial"/>
          <w:sz w:val="22"/>
          <w:szCs w:val="22"/>
        </w:rPr>
        <w:t xml:space="preserve"> makes sure that these laws respect “fundamental laws” an</w:t>
      </w:r>
      <w:bookmarkStart w:id="0" w:name="_GoBack"/>
      <w:bookmarkEnd w:id="0"/>
      <w:r w:rsidR="00696A5E">
        <w:rPr>
          <w:rFonts w:ascii="Arial" w:hAnsi="Arial" w:cs="Arial"/>
          <w:sz w:val="22"/>
          <w:szCs w:val="22"/>
        </w:rPr>
        <w:t xml:space="preserve">d that the member countries stick to them. </w:t>
      </w:r>
    </w:p>
    <w:p w:rsidR="005263C6" w:rsidRDefault="005263C6" w:rsidP="004C02B6">
      <w:pPr>
        <w:spacing w:line="320" w:lineRule="atLeast"/>
        <w:rPr>
          <w:rFonts w:ascii="Arial" w:hAnsi="Arial" w:cs="Arial"/>
          <w:sz w:val="22"/>
          <w:szCs w:val="22"/>
        </w:rPr>
      </w:pPr>
      <w:r>
        <w:rPr>
          <w:rFonts w:ascii="Arial" w:hAnsi="Arial" w:cs="Arial"/>
          <w:b/>
          <w:sz w:val="22"/>
          <w:szCs w:val="22"/>
        </w:rPr>
        <w:t>The European Commission</w:t>
      </w:r>
      <w:r>
        <w:rPr>
          <w:rFonts w:ascii="Arial" w:hAnsi="Arial" w:cs="Arial"/>
          <w:sz w:val="22"/>
          <w:szCs w:val="22"/>
        </w:rPr>
        <w:t xml:space="preserve"> is made up of 28 Commissioners who work for the sake of the Union as a whole. They propose new EU laws.</w:t>
      </w:r>
      <w:r w:rsidR="00114B04">
        <w:rPr>
          <w:rFonts w:ascii="Arial" w:hAnsi="Arial" w:cs="Arial"/>
          <w:sz w:val="22"/>
          <w:szCs w:val="22"/>
        </w:rPr>
        <w:t xml:space="preserve"> </w:t>
      </w:r>
      <w:r>
        <w:rPr>
          <w:rFonts w:ascii="Arial" w:hAnsi="Arial" w:cs="Arial"/>
          <w:b/>
          <w:sz w:val="22"/>
          <w:szCs w:val="22"/>
        </w:rPr>
        <w:t xml:space="preserve">The European Parliament </w:t>
      </w:r>
      <w:r>
        <w:rPr>
          <w:rFonts w:ascii="Arial" w:hAnsi="Arial" w:cs="Arial"/>
          <w:sz w:val="22"/>
          <w:szCs w:val="22"/>
        </w:rPr>
        <w:t xml:space="preserve">represents the people of the EU. Its members are elected every five years by all adult citizens of the EU. The parliament discusses new laws together with </w:t>
      </w:r>
      <w:r w:rsidRPr="005263C6">
        <w:rPr>
          <w:rFonts w:ascii="Arial" w:hAnsi="Arial" w:cs="Arial"/>
          <w:sz w:val="22"/>
          <w:szCs w:val="22"/>
        </w:rPr>
        <w:t>the</w:t>
      </w:r>
      <w:r>
        <w:rPr>
          <w:rFonts w:ascii="Arial" w:hAnsi="Arial" w:cs="Arial"/>
          <w:b/>
          <w:sz w:val="22"/>
          <w:szCs w:val="22"/>
        </w:rPr>
        <w:t xml:space="preserve"> Council</w:t>
      </w:r>
      <w:r w:rsidR="00696A5E">
        <w:rPr>
          <w:rFonts w:ascii="Arial" w:hAnsi="Arial" w:cs="Arial"/>
          <w:b/>
          <w:sz w:val="22"/>
          <w:szCs w:val="22"/>
        </w:rPr>
        <w:t xml:space="preserve">, </w:t>
      </w:r>
      <w:r w:rsidR="00F163DC">
        <w:rPr>
          <w:rFonts w:ascii="Arial" w:hAnsi="Arial" w:cs="Arial"/>
          <w:sz w:val="22"/>
          <w:szCs w:val="22"/>
        </w:rPr>
        <w:t xml:space="preserve">where government ministers of the member states meet regularly. The Council is </w:t>
      </w:r>
      <w:r w:rsidR="00696A5E" w:rsidRPr="00696A5E">
        <w:rPr>
          <w:rFonts w:ascii="Arial" w:hAnsi="Arial" w:cs="Arial"/>
          <w:sz w:val="22"/>
          <w:szCs w:val="22"/>
        </w:rPr>
        <w:t>the representation</w:t>
      </w:r>
      <w:r w:rsidR="00696A5E">
        <w:rPr>
          <w:rFonts w:ascii="Arial" w:hAnsi="Arial" w:cs="Arial"/>
          <w:sz w:val="22"/>
          <w:szCs w:val="22"/>
        </w:rPr>
        <w:t xml:space="preserve"> of the EU countries. If the Parliament and the Council find agreement on a new law it is passed.</w:t>
      </w:r>
    </w:p>
    <w:p w:rsidR="00696A5E" w:rsidRDefault="00696A5E" w:rsidP="004C02B6">
      <w:pPr>
        <w:spacing w:line="320" w:lineRule="atLeast"/>
        <w:rPr>
          <w:rFonts w:ascii="Arial" w:hAnsi="Arial" w:cs="Arial"/>
          <w:sz w:val="22"/>
          <w:szCs w:val="22"/>
        </w:rPr>
      </w:pPr>
      <w:r>
        <w:rPr>
          <w:rFonts w:ascii="Arial" w:hAnsi="Arial" w:cs="Arial"/>
          <w:sz w:val="22"/>
          <w:szCs w:val="22"/>
        </w:rPr>
        <w:t xml:space="preserve">The general political strategy of the EU is set in the </w:t>
      </w:r>
      <w:r>
        <w:rPr>
          <w:rFonts w:ascii="Arial" w:hAnsi="Arial" w:cs="Arial"/>
          <w:b/>
          <w:sz w:val="22"/>
          <w:szCs w:val="22"/>
        </w:rPr>
        <w:t xml:space="preserve">European Council </w:t>
      </w:r>
      <w:r>
        <w:rPr>
          <w:rFonts w:ascii="Arial" w:hAnsi="Arial" w:cs="Arial"/>
          <w:sz w:val="22"/>
          <w:szCs w:val="22"/>
        </w:rPr>
        <w:t>by the leaders of all member countries.</w:t>
      </w:r>
    </w:p>
    <w:sectPr w:rsidR="00696A5E">
      <w:head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14" w:rsidRDefault="00407E14" w:rsidP="00AB1FDD">
      <w:pPr>
        <w:spacing w:after="0" w:line="240" w:lineRule="auto"/>
      </w:pPr>
      <w:r>
        <w:separator/>
      </w:r>
    </w:p>
  </w:endnote>
  <w:endnote w:type="continuationSeparator" w:id="0">
    <w:p w:rsidR="00407E14" w:rsidRDefault="00407E14" w:rsidP="00AB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ro-Normal">
    <w:altName w:val="Arial"/>
    <w:panose1 w:val="00000000000000000000"/>
    <w:charset w:val="00"/>
    <w:family w:val="modern"/>
    <w:notTrueType/>
    <w:pitch w:val="variable"/>
    <w:sig w:usb0="00000001" w:usb1="4000206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14" w:rsidRDefault="00407E14" w:rsidP="00AB1FDD">
      <w:pPr>
        <w:spacing w:after="0" w:line="240" w:lineRule="auto"/>
      </w:pPr>
      <w:r>
        <w:separator/>
      </w:r>
    </w:p>
  </w:footnote>
  <w:footnote w:type="continuationSeparator" w:id="0">
    <w:p w:rsidR="00407E14" w:rsidRDefault="00407E14" w:rsidP="00AB1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AB1FDD" w:rsidTr="00AB1FDD">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AB1FDD" w:rsidRDefault="00AB1FDD">
          <w:pPr>
            <w:pStyle w:val="Kopfzeile"/>
            <w:rPr>
              <w:b/>
              <w:szCs w:val="22"/>
            </w:rPr>
          </w:pPr>
          <w:r>
            <w:rPr>
              <w:b/>
              <w:szCs w:val="22"/>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AB1FDD" w:rsidRDefault="00AB1FDD">
          <w:pPr>
            <w:pStyle w:val="Kopfzeile"/>
            <w:rPr>
              <w:b/>
              <w:szCs w:val="22"/>
            </w:rPr>
          </w:pPr>
          <w:r>
            <w:rPr>
              <w:b/>
              <w:szCs w:val="22"/>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AB1FDD" w:rsidRPr="00AB1FDD" w:rsidRDefault="000F498B" w:rsidP="0005217F">
          <w:pPr>
            <w:pStyle w:val="Kopfzeile"/>
            <w:rPr>
              <w:i/>
              <w:szCs w:val="22"/>
            </w:rPr>
          </w:pPr>
          <w:r>
            <w:rPr>
              <w:b/>
              <w:szCs w:val="22"/>
            </w:rPr>
            <w:t xml:space="preserve">Teil B: </w:t>
          </w:r>
          <w:r w:rsidR="00AB1FDD">
            <w:rPr>
              <w:b/>
              <w:szCs w:val="22"/>
            </w:rPr>
            <w:t>Freie Rede</w:t>
          </w:r>
          <w:r w:rsidR="00A0618C">
            <w:rPr>
              <w:b/>
              <w:szCs w:val="22"/>
            </w:rPr>
            <w:t>: Stundenentwurf 2</w:t>
          </w:r>
        </w:p>
      </w:tc>
      <w:tc>
        <w:tcPr>
          <w:tcW w:w="1552" w:type="dxa"/>
          <w:tcBorders>
            <w:top w:val="single" w:sz="6" w:space="0" w:color="auto"/>
            <w:left w:val="single" w:sz="6" w:space="0" w:color="auto"/>
            <w:bottom w:val="single" w:sz="6" w:space="0" w:color="auto"/>
            <w:right w:val="single" w:sz="6" w:space="0" w:color="auto"/>
          </w:tcBorders>
          <w:vAlign w:val="center"/>
          <w:hideMark/>
        </w:tcPr>
        <w:p w:rsidR="00AB1FDD" w:rsidRDefault="00AB1FDD">
          <w:pPr>
            <w:pStyle w:val="Kopfzeile"/>
            <w:rPr>
              <w:b/>
              <w:szCs w:val="22"/>
            </w:rPr>
          </w:pPr>
          <w:r>
            <w:rPr>
              <w:b/>
              <w:szCs w:val="22"/>
            </w:rPr>
            <w:t>Englisch</w:t>
          </w:r>
        </w:p>
      </w:tc>
    </w:tr>
  </w:tbl>
  <w:p w:rsidR="00AB1FDD" w:rsidRDefault="00AB1FDD" w:rsidP="00AB1FD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65B8A"/>
    <w:multiLevelType w:val="hybridMultilevel"/>
    <w:tmpl w:val="8ED0368C"/>
    <w:lvl w:ilvl="0" w:tplc="AFD63C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C9"/>
    <w:rsid w:val="0005217F"/>
    <w:rsid w:val="000B788B"/>
    <w:rsid w:val="000F498B"/>
    <w:rsid w:val="00114B04"/>
    <w:rsid w:val="001C58B2"/>
    <w:rsid w:val="001E293B"/>
    <w:rsid w:val="00277217"/>
    <w:rsid w:val="003950E9"/>
    <w:rsid w:val="00407E14"/>
    <w:rsid w:val="00471937"/>
    <w:rsid w:val="004C02B6"/>
    <w:rsid w:val="005263C6"/>
    <w:rsid w:val="00681590"/>
    <w:rsid w:val="00696A5E"/>
    <w:rsid w:val="00774369"/>
    <w:rsid w:val="00924B47"/>
    <w:rsid w:val="00A0618C"/>
    <w:rsid w:val="00AB1FDD"/>
    <w:rsid w:val="00B9034A"/>
    <w:rsid w:val="00BB754A"/>
    <w:rsid w:val="00BC00CB"/>
    <w:rsid w:val="00C44369"/>
    <w:rsid w:val="00EC22C9"/>
    <w:rsid w:val="00F02D83"/>
    <w:rsid w:val="00F163DC"/>
    <w:rsid w:val="00F3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43394-224F-46F2-8D3E-86965F1A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taPro-Normal" w:eastAsiaTheme="minorHAnsi" w:hAnsi="MetaPro-Normal"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52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521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5217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0521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1FD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AB1FDD"/>
  </w:style>
  <w:style w:type="paragraph" w:styleId="Fuzeile">
    <w:name w:val="footer"/>
    <w:basedOn w:val="Standard"/>
    <w:link w:val="FuzeileZchn"/>
    <w:uiPriority w:val="99"/>
    <w:unhideWhenUsed/>
    <w:rsid w:val="00AB1FDD"/>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AB1FDD"/>
  </w:style>
  <w:style w:type="paragraph" w:styleId="Sprechblasentext">
    <w:name w:val="Balloon Text"/>
    <w:basedOn w:val="Standard"/>
    <w:link w:val="SprechblasentextZchn"/>
    <w:uiPriority w:val="99"/>
    <w:semiHidden/>
    <w:unhideWhenUsed/>
    <w:rsid w:val="00AB1F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1FDD"/>
    <w:rPr>
      <w:rFonts w:ascii="Tahoma" w:hAnsi="Tahoma" w:cs="Tahoma"/>
      <w:sz w:val="16"/>
      <w:szCs w:val="16"/>
    </w:rPr>
  </w:style>
  <w:style w:type="table" w:styleId="Tabellenraster">
    <w:name w:val="Table Grid"/>
    <w:basedOn w:val="NormaleTabelle"/>
    <w:uiPriority w:val="59"/>
    <w:rsid w:val="00AB1FDD"/>
    <w:pPr>
      <w:spacing w:after="0" w:line="240" w:lineRule="auto"/>
    </w:pPr>
    <w:rPr>
      <w:rFonts w:ascii="Arial" w:hAnsi="Arial" w:cs="Arial"/>
      <w:sz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369"/>
    <w:pPr>
      <w:ind w:left="720"/>
      <w:contextualSpacing/>
    </w:pPr>
  </w:style>
  <w:style w:type="paragraph" w:styleId="Funotentext">
    <w:name w:val="footnote text"/>
    <w:basedOn w:val="Standard"/>
    <w:link w:val="FunotentextZchn"/>
    <w:uiPriority w:val="99"/>
    <w:semiHidden/>
    <w:unhideWhenUsed/>
    <w:rsid w:val="002772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7217"/>
    <w:rPr>
      <w:sz w:val="20"/>
      <w:szCs w:val="20"/>
    </w:rPr>
  </w:style>
  <w:style w:type="character" w:styleId="Funotenzeichen">
    <w:name w:val="footnote reference"/>
    <w:basedOn w:val="Absatz-Standardschriftart"/>
    <w:uiPriority w:val="99"/>
    <w:semiHidden/>
    <w:unhideWhenUsed/>
    <w:rsid w:val="00277217"/>
    <w:rPr>
      <w:vertAlign w:val="superscript"/>
    </w:rPr>
  </w:style>
  <w:style w:type="character" w:customStyle="1" w:styleId="berschrift1Zchn">
    <w:name w:val="Überschrift 1 Zchn"/>
    <w:basedOn w:val="Absatz-Standardschriftart"/>
    <w:link w:val="berschrift1"/>
    <w:uiPriority w:val="9"/>
    <w:rsid w:val="0005217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5217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5217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5217F"/>
    <w:rPr>
      <w:rFonts w:asciiTheme="majorHAnsi" w:eastAsiaTheme="majorEastAsia" w:hAnsiTheme="majorHAnsi" w:cstheme="majorBidi"/>
      <w:b/>
      <w:bCs/>
      <w:i/>
      <w:iCs/>
      <w:color w:val="4F81BD" w:themeColor="accent1"/>
    </w:rPr>
  </w:style>
  <w:style w:type="paragraph" w:styleId="Untertitel">
    <w:name w:val="Subtitle"/>
    <w:basedOn w:val="Standard"/>
    <w:next w:val="Standard"/>
    <w:link w:val="UntertitelZchn"/>
    <w:uiPriority w:val="11"/>
    <w:qFormat/>
    <w:rsid w:val="0005217F"/>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5217F"/>
    <w:rPr>
      <w:rFonts w:asciiTheme="majorHAnsi" w:eastAsiaTheme="majorEastAsia" w:hAnsiTheme="majorHAnsi" w:cstheme="majorBidi"/>
      <w:i/>
      <w:iCs/>
      <w:color w:val="4F81BD" w:themeColor="accent1"/>
      <w:spacing w:val="15"/>
    </w:rPr>
  </w:style>
  <w:style w:type="character" w:styleId="SchwacheHervorhebung">
    <w:name w:val="Subtle Emphasis"/>
    <w:basedOn w:val="Absatz-Standardschriftart"/>
    <w:uiPriority w:val="19"/>
    <w:qFormat/>
    <w:rsid w:val="0005217F"/>
    <w:rPr>
      <w:i/>
      <w:iCs/>
      <w:color w:val="808080" w:themeColor="text1" w:themeTint="7F"/>
    </w:rPr>
  </w:style>
  <w:style w:type="character" w:styleId="IntensiveHervorhebung">
    <w:name w:val="Intense Emphasis"/>
    <w:basedOn w:val="Absatz-Standardschriftart"/>
    <w:uiPriority w:val="21"/>
    <w:qFormat/>
    <w:rsid w:val="0005217F"/>
    <w:rPr>
      <w:b/>
      <w:bCs/>
      <w:i/>
      <w:iCs/>
      <w:color w:val="4F81BD" w:themeColor="accent1"/>
    </w:rPr>
  </w:style>
  <w:style w:type="character" w:styleId="Fett">
    <w:name w:val="Strong"/>
    <w:basedOn w:val="Absatz-Standardschriftart"/>
    <w:uiPriority w:val="22"/>
    <w:qFormat/>
    <w:rsid w:val="0005217F"/>
    <w:rPr>
      <w:b/>
      <w:bCs/>
    </w:rPr>
  </w:style>
  <w:style w:type="paragraph" w:styleId="Zitat">
    <w:name w:val="Quote"/>
    <w:basedOn w:val="Standard"/>
    <w:next w:val="Standard"/>
    <w:link w:val="ZitatZchn"/>
    <w:uiPriority w:val="29"/>
    <w:qFormat/>
    <w:rsid w:val="0005217F"/>
    <w:rPr>
      <w:i/>
      <w:iCs/>
      <w:color w:val="000000" w:themeColor="text1"/>
    </w:rPr>
  </w:style>
  <w:style w:type="character" w:customStyle="1" w:styleId="ZitatZchn">
    <w:name w:val="Zitat Zchn"/>
    <w:basedOn w:val="Absatz-Standardschriftart"/>
    <w:link w:val="Zitat"/>
    <w:uiPriority w:val="29"/>
    <w:rsid w:val="0005217F"/>
    <w:rPr>
      <w:i/>
      <w:iCs/>
      <w:color w:val="000000" w:themeColor="text1"/>
    </w:rPr>
  </w:style>
  <w:style w:type="paragraph" w:styleId="IntensivesZitat">
    <w:name w:val="Intense Quote"/>
    <w:basedOn w:val="Standard"/>
    <w:next w:val="Standard"/>
    <w:link w:val="IntensivesZitatZchn"/>
    <w:uiPriority w:val="30"/>
    <w:qFormat/>
    <w:rsid w:val="0005217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5217F"/>
    <w:rPr>
      <w:b/>
      <w:bCs/>
      <w:i/>
      <w:iCs/>
      <w:color w:val="4F81BD" w:themeColor="accent1"/>
    </w:rPr>
  </w:style>
  <w:style w:type="character" w:styleId="SchwacherVerweis">
    <w:name w:val="Subtle Reference"/>
    <w:basedOn w:val="Absatz-Standardschriftart"/>
    <w:uiPriority w:val="31"/>
    <w:qFormat/>
    <w:rsid w:val="0005217F"/>
    <w:rPr>
      <w:smallCaps/>
      <w:color w:val="C0504D" w:themeColor="accent2"/>
      <w:u w:val="single"/>
    </w:rPr>
  </w:style>
  <w:style w:type="character" w:styleId="IntensiverVerweis">
    <w:name w:val="Intense Reference"/>
    <w:basedOn w:val="Absatz-Standardschriftart"/>
    <w:uiPriority w:val="32"/>
    <w:qFormat/>
    <w:rsid w:val="0005217F"/>
    <w:rPr>
      <w:b/>
      <w:bCs/>
      <w:smallCaps/>
      <w:color w:val="C0504D" w:themeColor="accent2"/>
      <w:spacing w:val="5"/>
      <w:u w:val="single"/>
    </w:rPr>
  </w:style>
  <w:style w:type="character" w:styleId="Buchtitel">
    <w:name w:val="Book Title"/>
    <w:basedOn w:val="Absatz-Standardschriftart"/>
    <w:uiPriority w:val="33"/>
    <w:qFormat/>
    <w:rsid w:val="0005217F"/>
    <w:rPr>
      <w:b/>
      <w:bCs/>
      <w:smallCaps/>
      <w:spacing w:val="5"/>
    </w:rPr>
  </w:style>
  <w:style w:type="paragraph" w:customStyle="1" w:styleId="1berschrift">
    <w:name w:val="1. Überschrift"/>
    <w:basedOn w:val="Listenabsatz"/>
    <w:qFormat/>
    <w:rsid w:val="0005217F"/>
    <w:pPr>
      <w:spacing w:line="320" w:lineRule="atLeast"/>
      <w:ind w:left="0"/>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05F9-6504-401D-A03B-3DF45F71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Microsoft-Konto</cp:lastModifiedBy>
  <cp:revision>17</cp:revision>
  <cp:lastPrinted>2015-04-22T07:33:00Z</cp:lastPrinted>
  <dcterms:created xsi:type="dcterms:W3CDTF">2015-01-31T14:31:00Z</dcterms:created>
  <dcterms:modified xsi:type="dcterms:W3CDTF">2015-06-05T18:21:00Z</dcterms:modified>
</cp:coreProperties>
</file>