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FC" w:rsidRPr="002A18BA" w:rsidRDefault="009E7FFC" w:rsidP="009E7FFC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b/>
          <w:lang w:val="fr-FR"/>
        </w:rPr>
      </w:pPr>
      <w:r w:rsidRPr="00E37CBE">
        <w:rPr>
          <w:rFonts w:ascii="Calibri" w:hAnsi="Calibri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BCDA" wp14:editId="0E6CBC5C">
                <wp:simplePos x="0" y="0"/>
                <wp:positionH relativeFrom="column">
                  <wp:posOffset>4627245</wp:posOffset>
                </wp:positionH>
                <wp:positionV relativeFrom="paragraph">
                  <wp:posOffset>-359234</wp:posOffset>
                </wp:positionV>
                <wp:extent cx="1844964" cy="623455"/>
                <wp:effectExtent l="0" t="0" r="22225" b="247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964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FFC" w:rsidRPr="00E37CBE" w:rsidRDefault="009E7FFC" w:rsidP="009E7FF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37CBE">
                              <w:rPr>
                                <w:b/>
                                <w:sz w:val="22"/>
                                <w:szCs w:val="22"/>
                              </w:rPr>
                              <w:t>Scène</w:t>
                            </w:r>
                            <w:proofErr w:type="spellEnd"/>
                            <w:r w:rsidRPr="00E37C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:rsidR="009E7FFC" w:rsidRPr="00E37CBE" w:rsidRDefault="009E7FFC" w:rsidP="009E7FF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E7FFC" w:rsidRPr="00E37CBE" w:rsidRDefault="009E7FFC" w:rsidP="009E7FF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37CBE">
                              <w:rPr>
                                <w:b/>
                                <w:sz w:val="22"/>
                                <w:szCs w:val="22"/>
                              </w:rPr>
                              <w:t>Titre</w:t>
                            </w:r>
                            <w:proofErr w:type="spellEnd"/>
                            <w:r w:rsidRPr="00E37CBE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4.35pt;margin-top:-28.3pt;width:145.25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">
                <v:textbox>
                  <w:txbxContent>
                    <w:p w:rsidR="009E7FFC" w:rsidRPr="00E37CBE" w:rsidRDefault="009E7FFC" w:rsidP="009E7FF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37CBE">
                        <w:rPr>
                          <w:b/>
                          <w:sz w:val="22"/>
                          <w:szCs w:val="22"/>
                        </w:rPr>
                        <w:t>Scène</w:t>
                      </w:r>
                      <w:proofErr w:type="spellEnd"/>
                      <w:r w:rsidRPr="00E37CBE">
                        <w:rPr>
                          <w:b/>
                          <w:sz w:val="22"/>
                          <w:szCs w:val="22"/>
                        </w:rPr>
                        <w:t xml:space="preserve"> :</w:t>
                      </w:r>
                    </w:p>
                    <w:p w:rsidR="009E7FFC" w:rsidRPr="00E37CBE" w:rsidRDefault="009E7FFC" w:rsidP="009E7FF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E7FFC" w:rsidRPr="00E37CBE" w:rsidRDefault="009E7FFC" w:rsidP="009E7FF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37CBE">
                        <w:rPr>
                          <w:b/>
                          <w:sz w:val="22"/>
                          <w:szCs w:val="22"/>
                        </w:rPr>
                        <w:t>Titre</w:t>
                      </w:r>
                      <w:proofErr w:type="spellEnd"/>
                      <w:r w:rsidRPr="00E37CBE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2A18BA">
        <w:rPr>
          <w:rFonts w:ascii="Calibri" w:hAnsi="Calibri" w:cs="Tahoma"/>
          <w:b/>
          <w:lang w:val="fr-FR"/>
        </w:rPr>
        <w:t>Scénario</w:t>
      </w:r>
      <w:r>
        <w:rPr>
          <w:rFonts w:ascii="Calibri" w:hAnsi="Calibri" w:cs="Tahoma"/>
          <w:b/>
          <w:lang w:val="fr-FR"/>
        </w:rPr>
        <w:t xml:space="preserve"> (voir Les jeunes et l’école, </w:t>
      </w:r>
      <w:proofErr w:type="spellStart"/>
      <w:r>
        <w:rPr>
          <w:rFonts w:ascii="Calibri" w:hAnsi="Calibri" w:cs="Tahoma"/>
          <w:b/>
          <w:lang w:val="fr-FR"/>
        </w:rPr>
        <w:t>Klett</w:t>
      </w:r>
      <w:proofErr w:type="spellEnd"/>
      <w:r>
        <w:rPr>
          <w:rFonts w:ascii="Calibri" w:hAnsi="Calibri" w:cs="Tahoma"/>
          <w:b/>
          <w:lang w:val="fr-FR"/>
        </w:rPr>
        <w:t>, p. 83)</w:t>
      </w:r>
    </w:p>
    <w:p w:rsidR="009E7FFC" w:rsidRDefault="009E7FFC" w:rsidP="009E7FFC">
      <w:pPr>
        <w:tabs>
          <w:tab w:val="left" w:pos="5160"/>
          <w:tab w:val="left" w:pos="9600"/>
        </w:tabs>
        <w:rPr>
          <w:rFonts w:ascii="Calibri" w:hAnsi="Calibri" w:cs="Tahoma"/>
          <w:lang w:val="fr-FR"/>
        </w:rPr>
      </w:pPr>
      <w:r>
        <w:rPr>
          <w:rFonts w:ascii="Calibri" w:hAnsi="Calibri" w:cs="Tahoma"/>
          <w:lang w:val="fr-FR"/>
        </w:rPr>
        <w:t xml:space="preserve">   </w:t>
      </w:r>
      <w:r w:rsidRPr="002A18BA">
        <w:rPr>
          <w:rFonts w:ascii="Calibri" w:hAnsi="Calibri" w:cs="Tahoma"/>
          <w:lang w:val="fr-FR"/>
        </w:rPr>
        <w:t xml:space="preserve"> 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484"/>
        <w:gridCol w:w="7520"/>
      </w:tblGrid>
      <w:tr w:rsidR="009E7FFC" w:rsidTr="00A22F5B">
        <w:trPr>
          <w:trHeight w:val="300"/>
        </w:trPr>
        <w:tc>
          <w:tcPr>
            <w:tcW w:w="1602" w:type="dxa"/>
            <w:vMerge w:val="restart"/>
            <w:textDirection w:val="btLr"/>
            <w:vAlign w:val="center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113" w:right="113"/>
              <w:jc w:val="center"/>
              <w:rPr>
                <w:rFonts w:ascii="Calibri" w:hAnsi="Calibri" w:cs="Tahoma"/>
                <w:i/>
                <w:sz w:val="48"/>
                <w:szCs w:val="48"/>
                <w:lang w:val="fr-FR"/>
              </w:rPr>
            </w:pPr>
            <w:r w:rsidRPr="00A32B00">
              <w:rPr>
                <w:rFonts w:ascii="Calibri" w:hAnsi="Calibri" w:cs="Tahoma"/>
                <w:i/>
                <w:sz w:val="48"/>
                <w:szCs w:val="48"/>
                <w:lang w:val="fr-FR"/>
              </w:rPr>
              <w:t>narration</w:t>
            </w: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 w:rsidRPr="00A32B00">
              <w:rPr>
                <w:rFonts w:ascii="Calibri" w:hAnsi="Calibri" w:cs="Tahoma"/>
                <w:b/>
                <w:lang w:val="fr-FR"/>
              </w:rPr>
              <w:t>Action (lieu, temps, intrigue)</w:t>
            </w:r>
          </w:p>
        </w:tc>
      </w:tr>
      <w:tr w:rsidR="009E7FFC" w:rsidTr="00A22F5B">
        <w:trPr>
          <w:trHeight w:val="590"/>
        </w:trPr>
        <w:tc>
          <w:tcPr>
            <w:tcW w:w="1602" w:type="dxa"/>
            <w:vMerge/>
            <w:textDirection w:val="btLr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113" w:right="113"/>
              <w:rPr>
                <w:rFonts w:ascii="Calibri" w:hAnsi="Calibri" w:cs="Tahoma"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</w:tr>
      <w:tr w:rsidR="009E7FFC" w:rsidTr="00A22F5B">
        <w:trPr>
          <w:trHeight w:val="200"/>
        </w:trPr>
        <w:tc>
          <w:tcPr>
            <w:tcW w:w="1602" w:type="dxa"/>
            <w:vMerge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 w:rsidRPr="00A32B00">
              <w:rPr>
                <w:rFonts w:ascii="Calibri" w:hAnsi="Calibri" w:cs="Tahoma"/>
                <w:b/>
                <w:lang w:val="fr-FR"/>
              </w:rPr>
              <w:t>Personnages (apparence, gestes, communication)</w:t>
            </w:r>
          </w:p>
        </w:tc>
      </w:tr>
      <w:tr w:rsidR="009E7FFC" w:rsidTr="00A22F5B">
        <w:trPr>
          <w:trHeight w:val="200"/>
        </w:trPr>
        <w:tc>
          <w:tcPr>
            <w:tcW w:w="1602" w:type="dxa"/>
            <w:vMerge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</w:tr>
      <w:tr w:rsidR="009E7FFC" w:rsidRPr="0035062B" w:rsidTr="00A22F5B">
        <w:trPr>
          <w:trHeight w:val="100"/>
        </w:trPr>
        <w:tc>
          <w:tcPr>
            <w:tcW w:w="1602" w:type="dxa"/>
            <w:vMerge w:val="restart"/>
            <w:textDirection w:val="btLr"/>
            <w:vAlign w:val="center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113" w:right="113"/>
              <w:jc w:val="center"/>
              <w:rPr>
                <w:rFonts w:ascii="Calibri" w:hAnsi="Calibri" w:cs="Tahoma"/>
                <w:i/>
                <w:sz w:val="48"/>
                <w:szCs w:val="48"/>
                <w:lang w:val="fr-FR"/>
              </w:rPr>
            </w:pPr>
            <w:r w:rsidRPr="00A32B00">
              <w:rPr>
                <w:rFonts w:ascii="Calibri" w:hAnsi="Calibri" w:cs="Tahoma"/>
                <w:i/>
                <w:sz w:val="48"/>
                <w:szCs w:val="48"/>
                <w:lang w:val="fr-FR"/>
              </w:rPr>
              <w:t>Outils filmiques</w:t>
            </w: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 w:rsidRPr="00A32B00">
              <w:rPr>
                <w:rFonts w:ascii="Calibri" w:hAnsi="Calibri" w:cs="Tahoma"/>
                <w:b/>
                <w:lang w:val="fr-FR"/>
              </w:rPr>
              <w:t>Caméra (plans, mouvements, position, perspectives)</w:t>
            </w:r>
          </w:p>
        </w:tc>
      </w:tr>
      <w:tr w:rsidR="009E7FFC" w:rsidRPr="0035062B" w:rsidTr="00A22F5B">
        <w:trPr>
          <w:trHeight w:val="100"/>
        </w:trPr>
        <w:tc>
          <w:tcPr>
            <w:tcW w:w="1602" w:type="dxa"/>
            <w:vMerge/>
            <w:textDirection w:val="btLr"/>
          </w:tcPr>
          <w:p w:rsidR="009E7FFC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113" w:right="113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</w:tr>
      <w:tr w:rsidR="009E7FFC" w:rsidRPr="00A32B00" w:rsidTr="00A22F5B">
        <w:trPr>
          <w:trHeight w:val="100"/>
        </w:trPr>
        <w:tc>
          <w:tcPr>
            <w:tcW w:w="1602" w:type="dxa"/>
            <w:vMerge/>
          </w:tcPr>
          <w:p w:rsidR="009E7FFC" w:rsidRPr="002A18BA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 w:rsidRPr="00A32B00">
              <w:rPr>
                <w:rFonts w:ascii="Calibri" w:hAnsi="Calibri" w:cs="Tahoma"/>
                <w:b/>
                <w:lang w:val="fr-FR"/>
              </w:rPr>
              <w:t>Symboles visuels</w:t>
            </w:r>
          </w:p>
        </w:tc>
      </w:tr>
      <w:tr w:rsidR="009E7FFC" w:rsidRPr="00A32B00" w:rsidTr="00A22F5B">
        <w:trPr>
          <w:trHeight w:val="100"/>
        </w:trPr>
        <w:tc>
          <w:tcPr>
            <w:tcW w:w="1602" w:type="dxa"/>
            <w:vMerge/>
          </w:tcPr>
          <w:p w:rsidR="009E7FFC" w:rsidRPr="002A18BA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</w:tr>
      <w:tr w:rsidR="009E7FFC" w:rsidRPr="00A32B00" w:rsidTr="00A22F5B">
        <w:tc>
          <w:tcPr>
            <w:tcW w:w="1602" w:type="dxa"/>
            <w:vMerge/>
          </w:tcPr>
          <w:p w:rsidR="009E7FFC" w:rsidRPr="002A18BA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 w:rsidRPr="00A32B00">
              <w:rPr>
                <w:rFonts w:ascii="Calibri" w:hAnsi="Calibri" w:cs="Tahoma"/>
                <w:b/>
                <w:lang w:val="fr-FR"/>
              </w:rPr>
              <w:t>Son/musique</w:t>
            </w:r>
          </w:p>
        </w:tc>
      </w:tr>
      <w:tr w:rsidR="009E7FFC" w:rsidRPr="00A32B00" w:rsidTr="00A22F5B">
        <w:tc>
          <w:tcPr>
            <w:tcW w:w="1602" w:type="dxa"/>
            <w:vMerge/>
          </w:tcPr>
          <w:p w:rsidR="009E7FFC" w:rsidRPr="002A18BA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8534" w:type="dxa"/>
          </w:tcPr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  <w:p w:rsidR="009E7FFC" w:rsidRPr="00A32B00" w:rsidRDefault="009E7FFC" w:rsidP="00A22F5B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</w:tr>
    </w:tbl>
    <w:p w:rsidR="009E7FFC" w:rsidRDefault="009E7FFC" w:rsidP="009E7FFC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  <w:r>
        <w:rPr>
          <w:rFonts w:ascii="Calibri" w:hAnsi="Calibri" w:cs="Tahoma"/>
          <w:lang w:val="fr-FR"/>
        </w:rPr>
        <w:lastRenderedPageBreak/>
        <w:t xml:space="preserve">Pour un travail plus professionnalisé, consultez </w:t>
      </w:r>
      <w:hyperlink r:id="rId5" w:history="1">
        <w:r w:rsidRPr="00773E10">
          <w:rPr>
            <w:rStyle w:val="Hyperlink"/>
            <w:rFonts w:ascii="Calibri" w:hAnsi="Calibri" w:cs="Tahoma"/>
            <w:lang w:val="fr-FR"/>
          </w:rPr>
          <w:t>http://celtx.softonic.de/download#downloading</w:t>
        </w:r>
      </w:hyperlink>
    </w:p>
    <w:p w:rsidR="009E7FFC" w:rsidRDefault="009E7FFC" w:rsidP="009E7FFC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  <w:r>
        <w:rPr>
          <w:rFonts w:ascii="Calibri" w:hAnsi="Calibri" w:cs="Tahoma"/>
          <w:lang w:val="fr-FR"/>
        </w:rPr>
        <w:t>Le grand avantage : Tout est mémorisable, tout peut être consulté par l’équipe entière.</w:t>
      </w:r>
    </w:p>
    <w:p w:rsidR="00CE6CDA" w:rsidRPr="009E7FFC" w:rsidRDefault="00CE6CDA">
      <w:pPr>
        <w:rPr>
          <w:lang w:val="fr-FR"/>
        </w:rPr>
      </w:pPr>
      <w:bookmarkStart w:id="0" w:name="_GoBack"/>
      <w:bookmarkEnd w:id="0"/>
    </w:p>
    <w:sectPr w:rsidR="00CE6CDA" w:rsidRPr="009E7F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FC"/>
    <w:rsid w:val="009E7FFC"/>
    <w:rsid w:val="00C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FF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7FF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7FF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E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FF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7FF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7FF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E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tx.softonic.de/download#downloa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473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1</cp:revision>
  <dcterms:created xsi:type="dcterms:W3CDTF">2014-04-06T08:33:00Z</dcterms:created>
  <dcterms:modified xsi:type="dcterms:W3CDTF">2014-04-06T08:33:00Z</dcterms:modified>
</cp:coreProperties>
</file>