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0E4" w:rsidRPr="005A3947" w:rsidRDefault="005A3947" w:rsidP="005A3947">
      <w:pPr>
        <w:rPr>
          <w:rFonts w:ascii="Palatino Linotype" w:hAnsi="Palatino Linotype"/>
          <w:b/>
          <w:sz w:val="28"/>
          <w:szCs w:val="28"/>
          <w:u w:val="single"/>
        </w:rPr>
      </w:pPr>
      <w:r w:rsidRPr="005A3947">
        <w:rPr>
          <w:rFonts w:ascii="Palatino Linotype" w:hAnsi="Palatino Linotype"/>
          <w:b/>
          <w:sz w:val="28"/>
          <w:szCs w:val="28"/>
          <w:u w:val="single"/>
        </w:rPr>
        <w:t>Anknüpfungspunkte im BP 2016 für das „Sokrates-Platon-Portfolio“</w:t>
      </w:r>
    </w:p>
    <w:p w:rsidR="005A3947" w:rsidRPr="005A3947" w:rsidRDefault="005A3947" w:rsidP="005A3947">
      <w:pPr>
        <w:rPr>
          <w:rFonts w:ascii="Palatino Linotype" w:hAnsi="Palatino Linotype"/>
          <w:sz w:val="24"/>
          <w:szCs w:val="24"/>
        </w:rPr>
      </w:pPr>
      <w:r w:rsidRPr="005A3947">
        <w:rPr>
          <w:rFonts w:ascii="Palatino Linotype" w:hAnsi="Palatino Linotype"/>
          <w:sz w:val="24"/>
          <w:szCs w:val="24"/>
        </w:rPr>
        <w:t>Standards Kl. 10</w:t>
      </w:r>
    </w:p>
    <w:p w:rsidR="005A3947" w:rsidRDefault="005A3947" w:rsidP="005A3947">
      <w:pPr>
        <w:rPr>
          <w:rFonts w:ascii="Palatino Linotype" w:hAnsi="Palatino Linotype"/>
          <w:b/>
          <w:i/>
          <w:sz w:val="24"/>
          <w:szCs w:val="24"/>
        </w:rPr>
      </w:pPr>
    </w:p>
    <w:p w:rsidR="005A3947" w:rsidRPr="001874F8" w:rsidRDefault="005A3947" w:rsidP="00392F13">
      <w:pPr>
        <w:rPr>
          <w:rFonts w:ascii="Palatino Linotype" w:hAnsi="Palatino Linotype"/>
          <w:b/>
          <w:i/>
          <w:sz w:val="28"/>
          <w:szCs w:val="28"/>
        </w:rPr>
      </w:pPr>
      <w:r w:rsidRPr="001874F8">
        <w:rPr>
          <w:rFonts w:ascii="Palatino Linotype" w:hAnsi="Palatino Linotype"/>
          <w:b/>
          <w:i/>
          <w:sz w:val="28"/>
          <w:szCs w:val="28"/>
        </w:rPr>
        <w:t>3.1.4 Texte und Literatur</w:t>
      </w:r>
    </w:p>
    <w:p w:rsidR="005A3947" w:rsidRPr="005A3947" w:rsidRDefault="005A3947" w:rsidP="005A3947">
      <w:pPr>
        <w:rPr>
          <w:rFonts w:ascii="Palatino Linotype" w:hAnsi="Palatino Linotype"/>
          <w:i/>
          <w:sz w:val="20"/>
          <w:szCs w:val="20"/>
        </w:rPr>
      </w:pPr>
      <w:r w:rsidRPr="005A3947">
        <w:rPr>
          <w:rFonts w:ascii="Palatino Linotype" w:hAnsi="Palatino Linotype"/>
          <w:i/>
          <w:sz w:val="20"/>
          <w:szCs w:val="20"/>
        </w:rPr>
        <w:t>Die Schülerinnen und Schüler können</w:t>
      </w:r>
    </w:p>
    <w:p w:rsidR="005A3947" w:rsidRPr="005A3947" w:rsidRDefault="005A3947" w:rsidP="005A3947">
      <w:pPr>
        <w:rPr>
          <w:rFonts w:ascii="Palatino Linotype" w:hAnsi="Palatino Linotype"/>
          <w:b/>
          <w:sz w:val="24"/>
          <w:szCs w:val="24"/>
        </w:rPr>
      </w:pPr>
      <w:r w:rsidRPr="005A3947">
        <w:rPr>
          <w:rFonts w:ascii="Palatino Linotype" w:hAnsi="Palatino Linotype"/>
          <w:b/>
          <w:sz w:val="24"/>
          <w:szCs w:val="24"/>
        </w:rPr>
        <w:t>Vorerschließung</w:t>
      </w:r>
    </w:p>
    <w:p w:rsidR="005A3947" w:rsidRPr="005A3947" w:rsidRDefault="005A3947" w:rsidP="005A3947">
      <w:pPr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  <w:r>
        <w:rPr>
          <w:rFonts w:ascii="Palatino Linotype" w:eastAsia="TeXGyreHeros-Regular" w:hAnsi="Palatino Linotype" w:cs="TeXGyreHeros-Regular"/>
          <w:sz w:val="24"/>
          <w:szCs w:val="24"/>
        </w:rPr>
        <w:t>(1)</w:t>
      </w:r>
      <w:r>
        <w:rPr>
          <w:rFonts w:ascii="Palatino Linotype" w:eastAsia="TeXGyreHeros-Regular" w:hAnsi="Palatino Linotype" w:cs="TeXGyreHeros-Regular"/>
          <w:sz w:val="24"/>
          <w:szCs w:val="24"/>
        </w:rPr>
        <w:tab/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zunehmend selbstständig Informationen aus dem Textumfeld (zum Beispiel Überschrift, Einleitung)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und aus dem Text (zum Beispiel </w:t>
      </w:r>
      <w:bookmarkStart w:id="0" w:name="_GoBack"/>
      <w:bookmarkEnd w:id="0"/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Sachfelder, Wortfelder, Handlungsträger) zusammenstellen</w:t>
      </w:r>
      <w:r>
        <w:rPr>
          <w:rFonts w:ascii="Palatino Linotype" w:eastAsia="TeXGyreHeros-Regular" w:hAnsi="Palatino Linotype" w:cs="TeXGyreHeros-Regular"/>
          <w:sz w:val="24"/>
          <w:szCs w:val="24"/>
        </w:rPr>
        <w:t>;</w:t>
      </w:r>
    </w:p>
    <w:p w:rsidR="005A3947" w:rsidRPr="005A3947" w:rsidRDefault="005A3947" w:rsidP="005A3947">
      <w:pPr>
        <w:rPr>
          <w:rFonts w:ascii="Palatino Linotype" w:hAnsi="Palatino Linotype"/>
          <w:sz w:val="24"/>
          <w:szCs w:val="24"/>
        </w:rPr>
      </w:pPr>
    </w:p>
    <w:p w:rsidR="005A3947" w:rsidRPr="005A3947" w:rsidRDefault="005A3947" w:rsidP="005A3947">
      <w:pPr>
        <w:rPr>
          <w:rFonts w:ascii="Palatino Linotype" w:hAnsi="Palatino Linotype"/>
          <w:b/>
          <w:sz w:val="24"/>
          <w:szCs w:val="24"/>
        </w:rPr>
      </w:pPr>
      <w:r w:rsidRPr="005A3947">
        <w:rPr>
          <w:rFonts w:ascii="Palatino Linotype" w:hAnsi="Palatino Linotype"/>
          <w:b/>
          <w:sz w:val="24"/>
          <w:szCs w:val="24"/>
        </w:rPr>
        <w:t>Strukturierung</w:t>
      </w:r>
    </w:p>
    <w:p w:rsidR="005A3947" w:rsidRPr="005A3947" w:rsidRDefault="005A3947" w:rsidP="005A3947">
      <w:pPr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  <w:r>
        <w:rPr>
          <w:rFonts w:ascii="Palatino Linotype" w:eastAsia="TeXGyreHeros-Regular" w:hAnsi="Palatino Linotype" w:cs="TeXGyreHeros-Regular"/>
          <w:sz w:val="24"/>
          <w:szCs w:val="24"/>
        </w:rPr>
        <w:t>(8)</w:t>
      </w:r>
      <w:r>
        <w:rPr>
          <w:rFonts w:ascii="Palatino Linotype" w:eastAsia="TeXGyreHeros-Regular" w:hAnsi="Palatino Linotype" w:cs="TeXGyreHeros-Regular"/>
          <w:sz w:val="24"/>
          <w:szCs w:val="24"/>
        </w:rPr>
        <w:tab/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sprachlich-formale und inhaltliche Textmerkmale zunehmend selbstständig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herausarbeiten (zum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Beispiel Textsorte, Personen, Tempora, Modi, Diathesen, Wort- und Sachfelder, sinntragende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Begriffe)</w:t>
      </w:r>
      <w:r>
        <w:rPr>
          <w:rFonts w:ascii="Palatino Linotype" w:eastAsia="TeXGyreHeros-Regular" w:hAnsi="Palatino Linotype" w:cs="TeXGyreHeros-Regular"/>
          <w:sz w:val="24"/>
          <w:szCs w:val="24"/>
        </w:rPr>
        <w:t>;</w:t>
      </w:r>
    </w:p>
    <w:p w:rsidR="005A3947" w:rsidRPr="005A3947" w:rsidRDefault="005A3947" w:rsidP="005A3947">
      <w:pPr>
        <w:rPr>
          <w:rFonts w:ascii="Palatino Linotype" w:eastAsia="TeXGyreHeros-Regular" w:hAnsi="Palatino Linotype" w:cs="TeXGyreHeros-Regular"/>
          <w:sz w:val="24"/>
          <w:szCs w:val="24"/>
        </w:rPr>
      </w:pPr>
    </w:p>
    <w:p w:rsidR="005A3947" w:rsidRPr="005A3947" w:rsidRDefault="005A3947" w:rsidP="005A3947">
      <w:pPr>
        <w:rPr>
          <w:rFonts w:ascii="Palatino Linotype" w:eastAsia="TeXGyreHeros-Regular" w:hAnsi="Palatino Linotype" w:cs="TeXGyreHeros-Regular"/>
          <w:b/>
          <w:sz w:val="24"/>
          <w:szCs w:val="24"/>
        </w:rPr>
      </w:pPr>
      <w:r w:rsidRPr="005A3947">
        <w:rPr>
          <w:rFonts w:ascii="Palatino Linotype" w:eastAsia="TeXGyreHeros-Regular" w:hAnsi="Palatino Linotype" w:cs="TeXGyreHeros-Regular"/>
          <w:b/>
          <w:sz w:val="24"/>
          <w:szCs w:val="24"/>
        </w:rPr>
        <w:t>Reflexion</w:t>
      </w:r>
    </w:p>
    <w:p w:rsid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(15) </w:t>
      </w:r>
      <w:r>
        <w:rPr>
          <w:rFonts w:ascii="Palatino Linotype" w:eastAsia="TeXGyreHeros-Regular" w:hAnsi="Palatino Linotype" w:cs="TeXGyreHeros-Regular"/>
          <w:sz w:val="24"/>
          <w:szCs w:val="24"/>
        </w:rPr>
        <w:tab/>
      </w:r>
      <w:proofErr w:type="gramStart"/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das</w:t>
      </w:r>
      <w:proofErr w:type="gramEnd"/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Entstehen einer philosophischen Reflexions- und Fragehaltung am Beispiel des sokratischen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</w:t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Philosophierens beschreiben</w:t>
      </w:r>
      <w:r>
        <w:rPr>
          <w:rFonts w:ascii="Palatino Linotype" w:eastAsia="TeXGyreHeros-Regular" w:hAnsi="Palatino Linotype" w:cs="TeXGyreHeros-Regular"/>
          <w:sz w:val="24"/>
          <w:szCs w:val="24"/>
        </w:rPr>
        <w:t>.</w:t>
      </w:r>
    </w:p>
    <w:p w:rsid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</w:p>
    <w:p w:rsid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</w:p>
    <w:p w:rsidR="005A3947" w:rsidRPr="001874F8" w:rsidRDefault="005A3947" w:rsidP="00392F13">
      <w:pPr>
        <w:autoSpaceDE w:val="0"/>
        <w:autoSpaceDN w:val="0"/>
        <w:adjustRightInd w:val="0"/>
        <w:spacing w:line="240" w:lineRule="auto"/>
        <w:ind w:left="703" w:hanging="703"/>
        <w:rPr>
          <w:rFonts w:ascii="Palatino Linotype" w:eastAsia="TeXGyreHeros-Regular" w:hAnsi="Palatino Linotype" w:cs="TeXGyreHeros-Regular"/>
          <w:b/>
          <w:i/>
          <w:sz w:val="28"/>
          <w:szCs w:val="28"/>
        </w:rPr>
      </w:pPr>
      <w:r w:rsidRPr="001874F8">
        <w:rPr>
          <w:rFonts w:ascii="Palatino Linotype" w:eastAsia="TeXGyreHeros-Regular" w:hAnsi="Palatino Linotype" w:cs="TeXGyreHeros-Regular"/>
          <w:b/>
          <w:i/>
          <w:sz w:val="28"/>
          <w:szCs w:val="28"/>
        </w:rPr>
        <w:t>3.1.5 Antike Kultur</w:t>
      </w:r>
    </w:p>
    <w:p w:rsidR="005A3947" w:rsidRDefault="005A3947" w:rsidP="00392F13">
      <w:pPr>
        <w:autoSpaceDE w:val="0"/>
        <w:autoSpaceDN w:val="0"/>
        <w:adjustRightInd w:val="0"/>
        <w:spacing w:line="240" w:lineRule="auto"/>
        <w:ind w:left="703" w:hanging="703"/>
        <w:rPr>
          <w:rFonts w:ascii="Palatino Linotype" w:eastAsia="TeXGyreHeros-Regular" w:hAnsi="Palatino Linotype" w:cs="TeXGyreHeros-Regular"/>
          <w:i/>
          <w:sz w:val="20"/>
          <w:szCs w:val="20"/>
        </w:rPr>
      </w:pPr>
      <w:r w:rsidRPr="005A3947">
        <w:rPr>
          <w:rFonts w:ascii="Palatino Linotype" w:eastAsia="TeXGyreHeros-Regular" w:hAnsi="Palatino Linotype" w:cs="TeXGyreHeros-Regular"/>
          <w:i/>
          <w:sz w:val="20"/>
          <w:szCs w:val="20"/>
        </w:rPr>
        <w:t>Die Schülerinnen und Schüler können</w:t>
      </w:r>
    </w:p>
    <w:p w:rsid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8) </w:t>
      </w:r>
      <w:r>
        <w:rPr>
          <w:rFonts w:ascii="Palatino Linotype" w:eastAsia="TeXGyreHeros-Regular" w:hAnsi="Palatino Linotype" w:cs="TeXGyreHeros-Regular"/>
          <w:sz w:val="24"/>
          <w:szCs w:val="24"/>
        </w:rPr>
        <w:tab/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die Hauptströmungen der griechischen Philosophie (Vorsokratiker, Sophisten, Sokratiker) beschreiben</w:t>
      </w:r>
      <w:r>
        <w:rPr>
          <w:rFonts w:ascii="Palatino Linotype" w:eastAsia="TeXGyreHeros-Regular" w:hAnsi="Palatino Linotype" w:cs="TeXGyreHeros-Regular"/>
          <w:sz w:val="24"/>
          <w:szCs w:val="24"/>
        </w:rPr>
        <w:t>;</w:t>
      </w:r>
    </w:p>
    <w:p w:rsidR="005A3947" w:rsidRP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</w:p>
    <w:p w:rsid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(9) </w:t>
      </w:r>
      <w:r>
        <w:rPr>
          <w:rFonts w:ascii="Palatino Linotype" w:eastAsia="TeXGyreHeros-Regular" w:hAnsi="Palatino Linotype" w:cs="TeXGyreHeros-Regular"/>
          <w:sz w:val="24"/>
          <w:szCs w:val="24"/>
        </w:rPr>
        <w:tab/>
      </w: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Leben, Prozess und Tod des Sokrates in Grundzügen darstellen</w:t>
      </w:r>
      <w:r>
        <w:rPr>
          <w:rFonts w:ascii="Palatino Linotype" w:eastAsia="TeXGyreHeros-Regular" w:hAnsi="Palatino Linotype" w:cs="TeXGyreHeros-Regular"/>
          <w:sz w:val="24"/>
          <w:szCs w:val="24"/>
        </w:rPr>
        <w:t>;</w:t>
      </w:r>
    </w:p>
    <w:p w:rsidR="005A3947" w:rsidRP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</w:p>
    <w:p w:rsidR="005A3947" w:rsidRPr="005A3947" w:rsidRDefault="005A3947" w:rsidP="005A3947">
      <w:pPr>
        <w:autoSpaceDE w:val="0"/>
        <w:autoSpaceDN w:val="0"/>
        <w:adjustRightInd w:val="0"/>
        <w:spacing w:after="0" w:line="240" w:lineRule="auto"/>
        <w:ind w:left="705" w:hanging="705"/>
        <w:rPr>
          <w:rFonts w:ascii="Palatino Linotype" w:eastAsia="TeXGyreHeros-Regular" w:hAnsi="Palatino Linotype" w:cs="TeXGyreHeros-Regular"/>
          <w:sz w:val="24"/>
          <w:szCs w:val="24"/>
        </w:rPr>
      </w:pPr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(10) </w:t>
      </w:r>
      <w:r>
        <w:rPr>
          <w:rFonts w:ascii="Palatino Linotype" w:eastAsia="TeXGyreHeros-Regular" w:hAnsi="Palatino Linotype" w:cs="TeXGyreHeros-Regular"/>
          <w:sz w:val="24"/>
          <w:szCs w:val="24"/>
        </w:rPr>
        <w:tab/>
      </w:r>
      <w:proofErr w:type="gramStart"/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>zu</w:t>
      </w:r>
      <w:proofErr w:type="gramEnd"/>
      <w:r w:rsidRPr="005A3947">
        <w:rPr>
          <w:rFonts w:ascii="Palatino Linotype" w:eastAsia="TeXGyreHeros-Regular" w:hAnsi="Palatino Linotype" w:cs="TeXGyreHeros-Regular"/>
          <w:sz w:val="24"/>
          <w:szCs w:val="24"/>
        </w:rPr>
        <w:t xml:space="preserve"> den ethisch-philosophischen Positionen des Sokrates Stellung beziehen</w:t>
      </w:r>
      <w:r>
        <w:rPr>
          <w:rFonts w:ascii="Palatino Linotype" w:eastAsia="TeXGyreHeros-Regular" w:hAnsi="Palatino Linotype" w:cs="TeXGyreHeros-Regular"/>
          <w:sz w:val="24"/>
          <w:szCs w:val="24"/>
        </w:rPr>
        <w:t>.</w:t>
      </w:r>
    </w:p>
    <w:p w:rsidR="005A3947" w:rsidRPr="005A3947" w:rsidRDefault="005A3947" w:rsidP="005A3947">
      <w:pPr>
        <w:ind w:left="360"/>
        <w:rPr>
          <w:rFonts w:ascii="Palatino Linotype" w:eastAsia="TeXGyreHeros-Regular" w:hAnsi="Palatino Linotype" w:cs="TeXGyreHeros-Regular"/>
        </w:rPr>
      </w:pPr>
    </w:p>
    <w:p w:rsidR="005A3947" w:rsidRDefault="005A3947" w:rsidP="005A3947">
      <w:pPr>
        <w:rPr>
          <w:rFonts w:ascii="Palatino Linotype" w:eastAsia="TeXGyreHeros-Regular" w:hAnsi="Palatino Linotype" w:cs="TeXGyreHeros-Regular"/>
        </w:rPr>
      </w:pPr>
    </w:p>
    <w:p w:rsidR="005A3947" w:rsidRDefault="005A3947" w:rsidP="005A3947">
      <w:pPr>
        <w:rPr>
          <w:rFonts w:ascii="Palatino Linotype" w:eastAsia="TeXGyreHeros-Regular" w:hAnsi="Palatino Linotype" w:cs="TeXGyreHeros-Regular"/>
        </w:rPr>
      </w:pPr>
    </w:p>
    <w:p w:rsidR="005A3947" w:rsidRPr="005A3947" w:rsidRDefault="005A3947" w:rsidP="005A3947">
      <w:pPr>
        <w:rPr>
          <w:rFonts w:ascii="Palatino Linotype" w:hAnsi="Palatino Linotype"/>
        </w:rPr>
      </w:pPr>
    </w:p>
    <w:sectPr w:rsidR="005A3947" w:rsidRPr="005A39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eXGyreHeros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43551"/>
    <w:multiLevelType w:val="hybridMultilevel"/>
    <w:tmpl w:val="39FCDC2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26069"/>
    <w:multiLevelType w:val="hybridMultilevel"/>
    <w:tmpl w:val="6360F2C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A7550"/>
    <w:multiLevelType w:val="hybridMultilevel"/>
    <w:tmpl w:val="20C2084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47"/>
    <w:rsid w:val="001874F8"/>
    <w:rsid w:val="00392F13"/>
    <w:rsid w:val="005A3947"/>
    <w:rsid w:val="00CF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63DA3-1F42-404D-8511-AA9A18873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A3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Falk</dc:creator>
  <cp:keywords/>
  <dc:description/>
  <cp:lastModifiedBy>Michael Falk</cp:lastModifiedBy>
  <cp:revision>2</cp:revision>
  <dcterms:created xsi:type="dcterms:W3CDTF">2015-11-13T15:32:00Z</dcterms:created>
  <dcterms:modified xsi:type="dcterms:W3CDTF">2015-11-13T15:44:00Z</dcterms:modified>
</cp:coreProperties>
</file>