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76" w:rsidRPr="00B94451" w:rsidRDefault="00B94451" w:rsidP="00D9672F">
      <w:pPr>
        <w:spacing w:after="240"/>
        <w:jc w:val="center"/>
        <w:rPr>
          <w:b/>
        </w:rPr>
      </w:pPr>
      <w:r w:rsidRPr="00B94451">
        <w:rPr>
          <w:b/>
        </w:rPr>
        <w:t>Einführung in die kompetenzorientierte Unterrichtseinheit</w:t>
      </w:r>
      <w:r>
        <w:rPr>
          <w:b/>
        </w:rPr>
        <w:br/>
      </w:r>
      <w:r w:rsidRPr="00B94451">
        <w:rPr>
          <w:b/>
        </w:rPr>
        <w:t>„Caesars Germanenexkurs“</w:t>
      </w:r>
    </w:p>
    <w:p w:rsidR="00D9672F" w:rsidRDefault="007A15B3" w:rsidP="00046D8D">
      <w:pPr>
        <w:suppressAutoHyphens/>
      </w:pPr>
      <w:r>
        <w:t>Neben dem Bellum Helveticum gehört der Germanenexkurs zu der traditionellen Caesar</w:t>
      </w:r>
      <w:r w:rsidR="00046D8D">
        <w:softHyphen/>
      </w:r>
      <w:r>
        <w:t>lektüre. Ausschlaggebend dafür war zum einen schon immer die sprachliche Klarheit der Commentarii und zum anderen ein sich im Laufe der Zeit wandelndes geschichtliches Intere</w:t>
      </w:r>
      <w:r w:rsidR="007F603B">
        <w:t>sse.</w:t>
      </w:r>
      <w:r>
        <w:t xml:space="preserve"> Dieses richtete sich noch vor nicht allzu langer Zeit auf den Germanenexkurs als Quelle über die Germanen, </w:t>
      </w:r>
      <w:r w:rsidR="006624FC">
        <w:t xml:space="preserve">inzwischen </w:t>
      </w:r>
      <w:r>
        <w:t xml:space="preserve">dagegen </w:t>
      </w:r>
      <w:r w:rsidR="006624FC">
        <w:t xml:space="preserve">eher </w:t>
      </w:r>
      <w:r>
        <w:t>auf den Germanenexkurs als Quelle über Caesar</w:t>
      </w:r>
      <w:r w:rsidR="006624FC">
        <w:t>.</w:t>
      </w:r>
    </w:p>
    <w:p w:rsidR="006624FC" w:rsidRDefault="007F603B" w:rsidP="00D9672F">
      <w:r>
        <w:t xml:space="preserve">Als Gegenstand der Veranschaulichung kompetenzorientierten Unterrichts bietet sich der Germanenexkurs aus mehreren Gründen an: </w:t>
      </w:r>
      <w:r w:rsidR="004E3BEB">
        <w:t>Erstens lässt er gerade als traditioneller U</w:t>
      </w:r>
      <w:r w:rsidR="004E3BEB">
        <w:t>n</w:t>
      </w:r>
      <w:r w:rsidR="004E3BEB">
        <w:t xml:space="preserve">terrichtsinhalt neue Unterrichtsmethoden besonders deutlich erkennbar machen, zweitens ermöglicht </w:t>
      </w:r>
      <w:r w:rsidR="00371D76">
        <w:t xml:space="preserve">die Beschäftigung mit der </w:t>
      </w:r>
      <w:r w:rsidR="00EF4256">
        <w:t xml:space="preserve">Wahrnehmung von Fremden </w:t>
      </w:r>
      <w:r w:rsidR="00371D76">
        <w:t xml:space="preserve">die Einbeziehung aller vier </w:t>
      </w:r>
      <w:r w:rsidR="00EF4256">
        <w:t xml:space="preserve">Dimensionen des Kompetenzbegriffs und drittens ist der bescheidene Umfang von nur </w:t>
      </w:r>
      <w:r w:rsidR="006624FC">
        <w:t>vier Kapiteln</w:t>
      </w:r>
      <w:r w:rsidR="00CC2139">
        <w:t xml:space="preserve"> </w:t>
      </w:r>
      <w:r w:rsidR="00EF4256">
        <w:t>einfach praktisch für den Versuch einer prägnanten Darstellung kompeten</w:t>
      </w:r>
      <w:r w:rsidR="00EF4256">
        <w:t>z</w:t>
      </w:r>
      <w:r w:rsidR="00EF4256">
        <w:t>orientierten Unterrichts.</w:t>
      </w:r>
    </w:p>
    <w:p w:rsidR="00804D8F" w:rsidRDefault="00804D8F" w:rsidP="00804D8F">
      <w:r>
        <w:t>Worin besteht die Besonderheit  kompetenzorientierten Unterrichts? Die Individualität j</w:t>
      </w:r>
      <w:r>
        <w:t>e</w:t>
      </w:r>
      <w:r>
        <w:t>des Schülers</w:t>
      </w:r>
      <w:r w:rsidR="00D47B19">
        <w:t>, das Üben im Unterricht</w:t>
      </w:r>
      <w:r>
        <w:t xml:space="preserve"> und die Ergebnisse des Lernprozesses finden deu</w:t>
      </w:r>
      <w:r>
        <w:t>t</w:t>
      </w:r>
      <w:r>
        <w:t>lich stärkere Beachtung als im traditionellen Unterrichtsgeschehen. Konkret bedeutet dies in der vorliegenden Unterrichtseinheit: Lernstandsdiagnosen am Anfang und Ende, m</w:t>
      </w:r>
      <w:r>
        <w:t>e</w:t>
      </w:r>
      <w:r>
        <w:t>thod</w:t>
      </w:r>
      <w:r>
        <w:t>i</w:t>
      </w:r>
      <w:r>
        <w:t>sche Vorentlastung, diagnoseabhängiges Üben, hilfendifferenziertes Übersetzen und themendifferenziertes Textverstehen. Die arbeitsintensive Vorbereitung einer solchen U</w:t>
      </w:r>
      <w:r>
        <w:t>n</w:t>
      </w:r>
      <w:r>
        <w:t>terrichtseinheit schließt aus, dass ein Lehrender den gesamten Lateinunterricht  nach di</w:t>
      </w:r>
      <w:r>
        <w:t>e</w:t>
      </w:r>
      <w:r>
        <w:t>sem Modell strukturiert. Da es zudem jeden Lernenden in sehr intensiver Weise fordert, empfieht sich ein Wechsel zwischen Einheiten differenzierten und kollektiven Unterrichts.</w:t>
      </w:r>
    </w:p>
    <w:p w:rsidR="001279B9" w:rsidRDefault="001279B9" w:rsidP="001279B9">
      <w:r>
        <w:t xml:space="preserve">Die vorgestellte Unterrichtseinheit wurde 2010 in einer 9. Klasse im Anschluss an die Lehrbuchphase erprobt. Die Lerngruppe von 17 Schülern </w:t>
      </w:r>
      <w:r w:rsidR="00046D8D">
        <w:t>besuchte</w:t>
      </w:r>
      <w:r>
        <w:t xml:space="preserve"> jede Woche zwei Do</w:t>
      </w:r>
      <w:r>
        <w:t>p</w:t>
      </w:r>
      <w:r>
        <w:t>pelstunden Latein. Diese Schüler hatten zuvor drei Jahre lang mit dem Lehrwerk „prima B“ gearbeitet und festigten nun ihren Wortschatz mit „adeo</w:t>
      </w:r>
      <w:r w:rsidR="009E60E3">
        <w:t>-NORM</w:t>
      </w:r>
      <w:r>
        <w:t xml:space="preserve">“, ein Grundwortschatz, der </w:t>
      </w:r>
      <w:r w:rsidR="002C7DF9">
        <w:t>weitgehend</w:t>
      </w:r>
      <w:r>
        <w:t xml:space="preserve"> dem Vokabular des Lehrwerks entspricht. Die hier präsentierte Unterrichtsei</w:t>
      </w:r>
      <w:r>
        <w:t>n</w:t>
      </w:r>
      <w:r>
        <w:t>heit war somit in eine ganz bestimmte Situation eingebunden und kann nur mutatis m</w:t>
      </w:r>
      <w:r>
        <w:t>u</w:t>
      </w:r>
      <w:r>
        <w:t>tandis auf andere Lernverhältnisse übertragen werden.</w:t>
      </w:r>
      <w:r w:rsidR="00371D76">
        <w:t xml:space="preserve"> Verbesserungen, die die prakt</w:t>
      </w:r>
      <w:r w:rsidR="00371D76">
        <w:t>i</w:t>
      </w:r>
      <w:r w:rsidR="00371D76">
        <w:t xml:space="preserve">sche Erprobung nahelegten, sind in die </w:t>
      </w:r>
      <w:r w:rsidR="00F51BAB">
        <w:t>hier vorgestellte</w:t>
      </w:r>
      <w:r w:rsidR="00371D76">
        <w:t xml:space="preserve"> </w:t>
      </w:r>
      <w:r w:rsidR="00E64E50">
        <w:t>E</w:t>
      </w:r>
      <w:r w:rsidR="00371D76">
        <w:t>inheit bereits aufgenommen.</w:t>
      </w:r>
    </w:p>
    <w:p w:rsidR="00B92B62" w:rsidRDefault="00B92B62" w:rsidP="00B92B62">
      <w:pPr>
        <w:spacing w:before="240"/>
        <w:jc w:val="center"/>
        <w:rPr>
          <w:i/>
        </w:rPr>
      </w:pPr>
      <w:r w:rsidRPr="00B92B62">
        <w:rPr>
          <w:i/>
        </w:rPr>
        <w:t>Unterrichtsplanung</w:t>
      </w:r>
    </w:p>
    <w:p w:rsidR="00343BC0" w:rsidRPr="00343BC0" w:rsidRDefault="00343BC0" w:rsidP="00343BC0">
      <w:pPr>
        <w:rPr>
          <w:noProof/>
          <w:sz w:val="20"/>
          <w:lang w:val="de-DE"/>
        </w:rPr>
      </w:pPr>
      <w:r w:rsidRPr="00343BC0">
        <w:rPr>
          <w:noProof/>
          <w:sz w:val="20"/>
          <w:lang w:val="de-DE"/>
        </w:rPr>
        <w:drawing>
          <wp:inline distT="0" distB="0" distL="0" distR="0">
            <wp:extent cx="104775" cy="104775"/>
            <wp:effectExtent l="19050" t="0" r="9525" b="0"/>
            <wp:docPr id="3"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43BC0">
        <w:rPr>
          <w:noProof/>
          <w:sz w:val="20"/>
          <w:lang w:val="de-DE"/>
        </w:rPr>
        <w:t xml:space="preserve"> </w:t>
      </w:r>
      <w:r w:rsidRPr="00343BC0">
        <w:rPr>
          <w:noProof/>
          <w:color w:val="FF0000"/>
          <w:sz w:val="20"/>
          <w:lang w:val="de-DE"/>
        </w:rPr>
        <w:t>Methodische und fachliche Kompetenzen in der UE</w:t>
      </w:r>
    </w:p>
    <w:p w:rsidR="00313B91" w:rsidRPr="00343BC0" w:rsidRDefault="00343BC0" w:rsidP="00343BC0">
      <w:pPr>
        <w:spacing w:before="0"/>
        <w:rPr>
          <w:noProof/>
          <w:sz w:val="20"/>
          <w:lang w:val="de-DE"/>
        </w:rPr>
      </w:pPr>
      <w:r w:rsidRPr="00343BC0">
        <w:rPr>
          <w:noProof/>
          <w:sz w:val="20"/>
          <w:lang w:val="de-DE"/>
        </w:rPr>
        <w:drawing>
          <wp:inline distT="0" distB="0" distL="0" distR="0">
            <wp:extent cx="104775" cy="104775"/>
            <wp:effectExtent l="19050" t="0" r="9525" b="0"/>
            <wp:docPr id="2"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43BC0">
        <w:rPr>
          <w:noProof/>
          <w:sz w:val="20"/>
          <w:lang w:val="de-DE"/>
        </w:rPr>
        <w:t xml:space="preserve"> </w:t>
      </w:r>
      <w:r w:rsidRPr="00343BC0">
        <w:rPr>
          <w:noProof/>
          <w:color w:val="FF0000"/>
          <w:sz w:val="20"/>
          <w:lang w:val="de-DE"/>
        </w:rPr>
        <w:t>Verlaufsplanung der UE</w:t>
      </w:r>
    </w:p>
    <w:p w:rsidR="002A17BD" w:rsidRDefault="00ED20F9" w:rsidP="00D9672F">
      <w:r>
        <w:t>Am Anfang des Unterrichts steht die Unterrichtsplanung. Sie geht – anders als die traditi</w:t>
      </w:r>
      <w:r>
        <w:t>o</w:t>
      </w:r>
      <w:r>
        <w:t>nelle Unterrichtsplanung – nicht von kanonischen Inhalten aus, sondern von Kompete</w:t>
      </w:r>
      <w:r>
        <w:t>n</w:t>
      </w:r>
      <w:r>
        <w:t>zen, die im Unterricht vermittelt werden sollen. Im Anschluss an die Lehrbuchphase e</w:t>
      </w:r>
      <w:r>
        <w:t>r</w:t>
      </w:r>
      <w:r>
        <w:t>scheint eine Stärkung der methodischen Fähigkeiten besonders wichtig, da die starke Lernlenkung durch das Lehrwerk ab sofort nicht mehr gegeben ist.</w:t>
      </w:r>
      <w:r w:rsidR="002A17BD">
        <w:t xml:space="preserve"> Selbstverständlich handelt es sich dabei aber nur um eine Frage der Gewichtung, denn eine isolierte Vermit</w:t>
      </w:r>
      <w:r w:rsidR="002A17BD">
        <w:t>t</w:t>
      </w:r>
      <w:r w:rsidR="002A17BD">
        <w:t>lung von Methodenkompetenz ohne Personal-, Sozial- und Fachkompetenz ist in der P</w:t>
      </w:r>
      <w:r w:rsidR="002A17BD">
        <w:t>ä</w:t>
      </w:r>
      <w:r w:rsidR="002A17BD">
        <w:t xml:space="preserve">dagogik nicht denkbar. </w:t>
      </w:r>
      <w:r w:rsidR="00BC4DD2">
        <w:t xml:space="preserve">Hartmut von Hentig weist </w:t>
      </w:r>
      <w:r w:rsidR="00321F1A">
        <w:t xml:space="preserve">im Vorwort des </w:t>
      </w:r>
      <w:r w:rsidR="00BC4DD2">
        <w:t>Bildungsplan</w:t>
      </w:r>
      <w:r w:rsidR="00321F1A">
        <w:t>s</w:t>
      </w:r>
      <w:r w:rsidR="00BC4DD2">
        <w:t xml:space="preserve"> 2004 </w:t>
      </w:r>
      <w:r w:rsidR="00321F1A">
        <w:t>da</w:t>
      </w:r>
      <w:r w:rsidR="00321F1A">
        <w:t>r</w:t>
      </w:r>
      <w:r w:rsidR="00321F1A">
        <w:t xml:space="preserve">auf hin, dass der Bildungsplan zwar </w:t>
      </w:r>
      <w:r w:rsidR="002A17BD">
        <w:t xml:space="preserve">die </w:t>
      </w:r>
      <w:r w:rsidR="00BC4DD2">
        <w:t xml:space="preserve">vier </w:t>
      </w:r>
      <w:r w:rsidR="002A17BD">
        <w:t xml:space="preserve">verschiedenen </w:t>
      </w:r>
      <w:r w:rsidR="00BC4DD2">
        <w:t>Dimensionen des Kompeten</w:t>
      </w:r>
      <w:r w:rsidR="00BC4DD2">
        <w:t>z</w:t>
      </w:r>
      <w:r w:rsidR="00BC4DD2">
        <w:t xml:space="preserve">begriffs </w:t>
      </w:r>
      <w:r w:rsidR="00321F1A">
        <w:t>unterscheidet</w:t>
      </w:r>
      <w:r w:rsidR="00BC4DD2">
        <w:t xml:space="preserve">, </w:t>
      </w:r>
      <w:r w:rsidR="00321F1A">
        <w:t>sich aber einer Festlegung der Bestandteile und ihrer Gewichtung enthält</w:t>
      </w:r>
      <w:r w:rsidR="002A17BD">
        <w:t xml:space="preserve"> (S. 14)</w:t>
      </w:r>
      <w:r w:rsidR="00321F1A">
        <w:t>.</w:t>
      </w:r>
    </w:p>
    <w:p w:rsidR="001279B9" w:rsidRDefault="004E4EA5" w:rsidP="00D9672F">
      <w:r>
        <w:t>Ein Schüler, der mit der Autorenlektüre beginnt, braucht vor allem die Fähigkeit, seine e</w:t>
      </w:r>
      <w:r>
        <w:t>r</w:t>
      </w:r>
      <w:r>
        <w:t xml:space="preserve">worbene Fachkompetenz derart methodisch zu ergänzen, dass er </w:t>
      </w:r>
      <w:r w:rsidR="004C2415">
        <w:t xml:space="preserve">völlig unbekannte </w:t>
      </w:r>
      <w:r>
        <w:t>Texte</w:t>
      </w:r>
      <w:r w:rsidR="004C2415">
        <w:t xml:space="preserve"> hinsichtlich ihrer Wörter, Einzelsätze und ihres Gesamtsinns erschließen kann. Zu Beginn des Lektüreunterrichts ist es also besonders wichtig, die Fähigkeiten zu vermitteln</w:t>
      </w:r>
      <w:r w:rsidR="00ED2D03">
        <w:t>,</w:t>
      </w:r>
      <w:r w:rsidR="004C2415">
        <w:t xml:space="preserve"> Vok</w:t>
      </w:r>
      <w:r w:rsidR="004C2415">
        <w:t>a</w:t>
      </w:r>
      <w:r w:rsidR="004C2415">
        <w:lastRenderedPageBreak/>
        <w:t xml:space="preserve">belbedeutungen mittels Wortanalyse oder Lexikon zu erschließen, Sätze mittels einer Übersetzungsmethode zu dekodieren und Texte unter Verwendung grundlegender </w:t>
      </w:r>
      <w:r w:rsidR="00282B73">
        <w:t>Anal</w:t>
      </w:r>
      <w:r w:rsidR="00282B73">
        <w:t>y</w:t>
      </w:r>
      <w:r w:rsidR="00282B73">
        <w:t xml:space="preserve">se- und </w:t>
      </w:r>
      <w:r w:rsidR="004C2415">
        <w:t>Interpretationsschritte zu verstehen.</w:t>
      </w:r>
      <w:r w:rsidR="00921F86">
        <w:t xml:space="preserve"> Welche Bildungsplan-Standards im Einzelnen bei der Unterrichtseinheit zu Caesars Germanenexkurs verfolgt werden, ist auf der Seite „Methodische und fachliche Kompetenzen in der UE“ dargelegt.</w:t>
      </w:r>
    </w:p>
    <w:p w:rsidR="00921F86" w:rsidRDefault="00927541" w:rsidP="00D9672F">
      <w:r>
        <w:t>Da das Ziel der Vermittlung von Kompetenzen den Schüler stärker in den Blick nimmt als die inhaltsorientierten Lehrpläne der vergangenen Jahrzehnte, sollte sich auch die konkr</w:t>
      </w:r>
      <w:r>
        <w:t>e</w:t>
      </w:r>
      <w:r>
        <w:t xml:space="preserve">te Unterrichtsgestaltung stärker an der Individualität der Schüler orientieren als dies im traditionellen Unterricht der Fall ist. </w:t>
      </w:r>
      <w:r w:rsidR="00282B73">
        <w:t>Grundsätzlich kommen dafür Test- und Beobac</w:t>
      </w:r>
      <w:r w:rsidR="00282B73">
        <w:t>h</w:t>
      </w:r>
      <w:r w:rsidR="00282B73">
        <w:t xml:space="preserve">tungsverfahren in Frage, die bei </w:t>
      </w:r>
      <w:r w:rsidR="00A14D87">
        <w:t>Paradies-Linser-Greving (Diagnostizieren, Fordern und Fördern, 2007) ausführlich dargelegt und diskutiert werden</w:t>
      </w:r>
      <w:r w:rsidR="00282B73">
        <w:t xml:space="preserve">. </w:t>
      </w:r>
      <w:r w:rsidR="00A14D87">
        <w:t>In der hier vorgestellten Unte</w:t>
      </w:r>
      <w:r w:rsidR="00A14D87">
        <w:t>r</w:t>
      </w:r>
      <w:r w:rsidR="00A14D87">
        <w:t>richtseinheit findet B</w:t>
      </w:r>
      <w:r>
        <w:t>innendifferenzier</w:t>
      </w:r>
      <w:r w:rsidR="00A14D87">
        <w:t>ung</w:t>
      </w:r>
      <w:r>
        <w:t xml:space="preserve"> </w:t>
      </w:r>
      <w:r w:rsidR="00A14D87">
        <w:t>nach fachspezifischen Fähigkeiten (Überse</w:t>
      </w:r>
      <w:r w:rsidR="00A14D87">
        <w:t>t</w:t>
      </w:r>
      <w:r w:rsidR="00A14D87">
        <w:t xml:space="preserve">zungsstunden) und </w:t>
      </w:r>
      <w:r w:rsidR="00DB6D75">
        <w:t xml:space="preserve">Interessen </w:t>
      </w:r>
      <w:r w:rsidR="00A14D87">
        <w:t>(Interpretationsstunden) statt</w:t>
      </w:r>
      <w:r w:rsidR="00DB6D75">
        <w:t xml:space="preserve">. Die konkrete Planung der sieben Doppelstunden </w:t>
      </w:r>
      <w:r w:rsidR="00A14D87">
        <w:t xml:space="preserve">ist </w:t>
      </w:r>
      <w:r w:rsidR="00DB6D75">
        <w:t>auf der Seite „Verlaufsplanung der UE“</w:t>
      </w:r>
      <w:r w:rsidR="00A14D87">
        <w:t xml:space="preserve"> aufgeführt</w:t>
      </w:r>
      <w:r w:rsidR="00DB6D75">
        <w:t>.</w:t>
      </w:r>
    </w:p>
    <w:p w:rsidR="00DB6D75" w:rsidRDefault="009C7605" w:rsidP="00DB6D75">
      <w:pPr>
        <w:spacing w:before="240"/>
        <w:jc w:val="center"/>
        <w:rPr>
          <w:i/>
        </w:rPr>
      </w:pPr>
      <w:r>
        <w:rPr>
          <w:i/>
        </w:rPr>
        <w:t xml:space="preserve">1. Doppelstunde: </w:t>
      </w:r>
      <w:r w:rsidR="00DB6D75" w:rsidRPr="00DB6D75">
        <w:rPr>
          <w:i/>
        </w:rPr>
        <w:t>Lernstandsdiagnose</w:t>
      </w:r>
      <w:r w:rsidR="00311FA6">
        <w:rPr>
          <w:i/>
        </w:rPr>
        <w:t xml:space="preserve"> am Anfang der Unterrichtseinheit</w:t>
      </w:r>
    </w:p>
    <w:p w:rsidR="000753BB" w:rsidRPr="000D465C" w:rsidRDefault="000753BB" w:rsidP="000753BB">
      <w:pPr>
        <w:rPr>
          <w:color w:val="FF0000"/>
          <w:sz w:val="20"/>
        </w:rPr>
      </w:pPr>
      <w:r w:rsidRPr="000D465C">
        <w:rPr>
          <w:noProof/>
          <w:sz w:val="20"/>
          <w:lang w:val="de-DE"/>
        </w:rPr>
        <w:drawing>
          <wp:inline distT="0" distB="0" distL="0" distR="0">
            <wp:extent cx="104775" cy="104775"/>
            <wp:effectExtent l="19050" t="0" r="9525" b="0"/>
            <wp:docPr id="4"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0D465C">
        <w:rPr>
          <w:sz w:val="20"/>
        </w:rPr>
        <w:t xml:space="preserve"> </w:t>
      </w:r>
      <w:r w:rsidRPr="000D465C">
        <w:rPr>
          <w:color w:val="FF0000"/>
          <w:sz w:val="20"/>
        </w:rPr>
        <w:t>Hinweise zur Erstellung und Bewertung der Tests</w:t>
      </w:r>
    </w:p>
    <w:p w:rsidR="00313B91" w:rsidRDefault="00313B91" w:rsidP="000753BB">
      <w:pPr>
        <w:spacing w:before="0"/>
        <w:rPr>
          <w:color w:val="FF0000"/>
          <w:sz w:val="20"/>
        </w:rPr>
      </w:pPr>
      <w:r w:rsidRPr="00313B91">
        <w:rPr>
          <w:noProof/>
          <w:sz w:val="20"/>
          <w:lang w:val="de-DE"/>
        </w:rPr>
        <w:drawing>
          <wp:inline distT="0" distB="0" distL="0" distR="0">
            <wp:extent cx="104775" cy="104775"/>
            <wp:effectExtent l="19050" t="0" r="9525" b="0"/>
            <wp:docPr id="1"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Pr="00313B91">
        <w:rPr>
          <w:color w:val="FF0000"/>
          <w:sz w:val="20"/>
        </w:rPr>
        <w:t xml:space="preserve">Lernstandsdiagnose </w:t>
      </w:r>
      <w:r w:rsidR="00626530">
        <w:rPr>
          <w:color w:val="FF0000"/>
          <w:sz w:val="20"/>
        </w:rPr>
        <w:t>(</w:t>
      </w:r>
      <w:r w:rsidR="00BC0EF9">
        <w:rPr>
          <w:color w:val="FF0000"/>
          <w:sz w:val="20"/>
        </w:rPr>
        <w:t xml:space="preserve">Tests auf </w:t>
      </w:r>
      <w:r w:rsidR="009E77AA">
        <w:rPr>
          <w:color w:val="FF0000"/>
          <w:sz w:val="20"/>
        </w:rPr>
        <w:t>Arbeitsblätter</w:t>
      </w:r>
      <w:r w:rsidR="00BC0EF9">
        <w:rPr>
          <w:color w:val="FF0000"/>
          <w:sz w:val="20"/>
        </w:rPr>
        <w:t>n</w:t>
      </w:r>
      <w:r w:rsidR="00626530">
        <w:rPr>
          <w:color w:val="FF0000"/>
          <w:sz w:val="20"/>
        </w:rPr>
        <w:t xml:space="preserve">) </w:t>
      </w:r>
      <w:r w:rsidRPr="00313B91">
        <w:rPr>
          <w:color w:val="FF0000"/>
          <w:sz w:val="20"/>
        </w:rPr>
        <w:t xml:space="preserve">am Anfang der </w:t>
      </w:r>
      <w:r w:rsidRPr="00626530">
        <w:rPr>
          <w:color w:val="FF0000"/>
          <w:sz w:val="20"/>
        </w:rPr>
        <w:t>UE</w:t>
      </w:r>
    </w:p>
    <w:p w:rsidR="009E77AA" w:rsidRDefault="009E77AA" w:rsidP="000753BB">
      <w:pPr>
        <w:spacing w:before="0"/>
        <w:rPr>
          <w:color w:val="FF0000"/>
          <w:sz w:val="20"/>
        </w:rPr>
      </w:pPr>
      <w:r w:rsidRPr="009E77AA">
        <w:rPr>
          <w:noProof/>
          <w:color w:val="FF0000"/>
          <w:sz w:val="20"/>
          <w:lang w:val="de-DE"/>
        </w:rPr>
        <w:drawing>
          <wp:inline distT="0" distB="0" distL="0" distR="0">
            <wp:extent cx="104775" cy="104775"/>
            <wp:effectExtent l="19050" t="0" r="9525" b="0"/>
            <wp:docPr id="12"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Pr>
          <w:color w:val="FF0000"/>
          <w:sz w:val="20"/>
        </w:rPr>
        <w:t xml:space="preserve"> Lernstandsdiagnose</w:t>
      </w:r>
      <w:r w:rsidR="004027D2">
        <w:rPr>
          <w:color w:val="FF0000"/>
          <w:sz w:val="20"/>
        </w:rPr>
        <w:t>-Tests</w:t>
      </w:r>
      <w:r>
        <w:rPr>
          <w:color w:val="FF0000"/>
          <w:sz w:val="20"/>
        </w:rPr>
        <w:t xml:space="preserve"> </w:t>
      </w:r>
      <w:r w:rsidR="004027D2">
        <w:rPr>
          <w:color w:val="FF0000"/>
          <w:sz w:val="20"/>
        </w:rPr>
        <w:t xml:space="preserve">(digital) </w:t>
      </w:r>
      <w:r>
        <w:rPr>
          <w:color w:val="FF0000"/>
          <w:sz w:val="20"/>
        </w:rPr>
        <w:t xml:space="preserve">am Anfang der UE </w:t>
      </w:r>
      <w:r w:rsidR="004027D2">
        <w:rPr>
          <w:color w:val="FF0000"/>
          <w:sz w:val="20"/>
        </w:rPr>
        <w:t>(Alternative zu den Arbeitsblättern</w:t>
      </w:r>
      <w:r>
        <w:rPr>
          <w:color w:val="FF0000"/>
          <w:sz w:val="20"/>
        </w:rPr>
        <w:t>)</w:t>
      </w:r>
    </w:p>
    <w:p w:rsidR="004027D2" w:rsidRPr="00626530" w:rsidRDefault="004027D2" w:rsidP="004027D2">
      <w:pPr>
        <w:spacing w:before="0"/>
        <w:rPr>
          <w:color w:val="FF0000"/>
          <w:sz w:val="20"/>
        </w:rPr>
      </w:pPr>
      <w:r w:rsidRPr="00F1397B">
        <w:rPr>
          <w:noProof/>
          <w:color w:val="FF0000"/>
          <w:sz w:val="20"/>
          <w:lang w:val="de-DE"/>
        </w:rPr>
        <w:drawing>
          <wp:inline distT="0" distB="0" distL="0" distR="0">
            <wp:extent cx="104775" cy="104775"/>
            <wp:effectExtent l="19050" t="0" r="9525" b="0"/>
            <wp:docPr id="9"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Pr>
          <w:color w:val="FF0000"/>
          <w:sz w:val="20"/>
        </w:rPr>
        <w:t xml:space="preserve"> Erste Vorentlastung (für Gall.6,21-22): Wiederholung der Übersetzungsmethode</w:t>
      </w:r>
    </w:p>
    <w:p w:rsidR="000D4160" w:rsidRDefault="000D4160" w:rsidP="00D9672F">
      <w:r>
        <w:t xml:space="preserve">Individuelle Förderung setzt die Kenntnis der vorhandenen individuellen Fähigkeiten und Schwächen voraus. Diese zu ermitteln ist </w:t>
      </w:r>
      <w:r w:rsidR="00BB6A14">
        <w:t xml:space="preserve">auch </w:t>
      </w:r>
      <w:r>
        <w:t>der Sinn der seit einigen Jahren durchg</w:t>
      </w:r>
      <w:r>
        <w:t>e</w:t>
      </w:r>
      <w:r>
        <w:t>führten Diagnose- und Vergleichsarbeiten, denen allerdings dadurch, dass sie in der Pr</w:t>
      </w:r>
      <w:r>
        <w:t>o</w:t>
      </w:r>
      <w:r>
        <w:t>bephase bewertet wurden, immer noch der Ruf eines kleinen Abiturs nachhängt.</w:t>
      </w:r>
    </w:p>
    <w:p w:rsidR="00183C8D" w:rsidRDefault="000D4160" w:rsidP="00D9672F">
      <w:r>
        <w:t>Bevor sich die Lerngruppe dem Germanenexkurs zuwendet, bearbeiten die Schüler</w:t>
      </w:r>
      <w:r w:rsidR="00BB6A14">
        <w:t xml:space="preserve"> also vier Tests zu den Bildungsplan-Arbeitsbereichen Wortschatz, Satzlehre, Formenlehre und </w:t>
      </w:r>
      <w:r w:rsidR="00723B6A">
        <w:t xml:space="preserve">Texte / </w:t>
      </w:r>
      <w:r w:rsidR="00BB6A14">
        <w:t xml:space="preserve">Antike Kultur. Gegenstand der Test sind </w:t>
      </w:r>
      <w:r w:rsidR="00723B6A">
        <w:t xml:space="preserve">das </w:t>
      </w:r>
      <w:r w:rsidR="00BB6A14">
        <w:t xml:space="preserve">Vokabular, </w:t>
      </w:r>
      <w:r w:rsidR="00723B6A">
        <w:t xml:space="preserve">die </w:t>
      </w:r>
      <w:r w:rsidR="00BB6A14">
        <w:t>Grammatik</w:t>
      </w:r>
      <w:r w:rsidR="00723B6A">
        <w:t xml:space="preserve"> und das Textverstehen</w:t>
      </w:r>
      <w:r w:rsidR="00BB6A14">
        <w:t xml:space="preserve"> </w:t>
      </w:r>
      <w:r w:rsidR="00723B6A">
        <w:t xml:space="preserve">so, wie sie </w:t>
      </w:r>
      <w:r w:rsidR="00BB6A14">
        <w:t>in „prima B“</w:t>
      </w:r>
      <w:r w:rsidR="00723B6A">
        <w:t xml:space="preserve"> dargestellt werden</w:t>
      </w:r>
      <w:r w:rsidR="00BB6A14">
        <w:t xml:space="preserve">. </w:t>
      </w:r>
      <w:r w:rsidR="00723B6A">
        <w:t xml:space="preserve">Hinsichtlich der antiken Kultur beschränken sich die Testaufgaben auf </w:t>
      </w:r>
      <w:r w:rsidR="009F4D87">
        <w:t xml:space="preserve">die Informationen des Lehrwerks über </w:t>
      </w:r>
      <w:r w:rsidR="00723B6A">
        <w:t xml:space="preserve">Caesar und die Germanen. </w:t>
      </w:r>
      <w:r w:rsidR="00BB6A14">
        <w:t>Die Tests können auf Papier oder einer Moodle</w:t>
      </w:r>
      <w:r w:rsidR="00183C8D">
        <w:t>-Plattform durchgeführt werden.</w:t>
      </w:r>
    </w:p>
    <w:p w:rsidR="00DB6D75" w:rsidRDefault="00BB6A14" w:rsidP="00D9672F">
      <w:r>
        <w:t xml:space="preserve">Für die Gruppeneinteilung in den Übersetzungs-Doppelstunden sind </w:t>
      </w:r>
      <w:r w:rsidR="008F6869">
        <w:t xml:space="preserve">nur die Tests zu Wortschatz, Satzlehre und Formenlehre relevant: Je nach Ergebnis </w:t>
      </w:r>
      <w:r w:rsidR="00FE5BD3">
        <w:t xml:space="preserve">werden </w:t>
      </w:r>
      <w:r w:rsidR="008F6869">
        <w:t>Binnengru</w:t>
      </w:r>
      <w:r w:rsidR="008F6869">
        <w:t>p</w:t>
      </w:r>
      <w:r w:rsidR="008F6869">
        <w:t xml:space="preserve">pen </w:t>
      </w:r>
      <w:r w:rsidR="00FE5BD3">
        <w:t xml:space="preserve">gebildet, die </w:t>
      </w:r>
      <w:r w:rsidR="008F6869">
        <w:t>Hilfen zum Wortschatz</w:t>
      </w:r>
      <w:r w:rsidR="00FE5BD3">
        <w:t xml:space="preserve"> erhalten, </w:t>
      </w:r>
      <w:r w:rsidR="008F6869">
        <w:t>zur Satzlehre</w:t>
      </w:r>
      <w:r w:rsidR="00FE5BD3">
        <w:t xml:space="preserve">, </w:t>
      </w:r>
      <w:r w:rsidR="008F6869">
        <w:t>zur Formenlehre oder zum Wortschatz und zur Satzlehre usw. Der Test zu</w:t>
      </w:r>
      <w:r w:rsidR="005A62F4">
        <w:t xml:space="preserve"> </w:t>
      </w:r>
      <w:r w:rsidR="007E0650">
        <w:t xml:space="preserve">den Arbeitsbereichen </w:t>
      </w:r>
      <w:r w:rsidR="005A62F4">
        <w:t xml:space="preserve">Texte / </w:t>
      </w:r>
      <w:r w:rsidR="008F6869">
        <w:t xml:space="preserve">Antike Kultur dient </w:t>
      </w:r>
      <w:r w:rsidR="005A62F4">
        <w:t xml:space="preserve">vor allem </w:t>
      </w:r>
      <w:r w:rsidR="008F6869">
        <w:t>dem Zweck, den eigenen Lernfortschritt nach Absolvierung eines entsprechenden Tests am Ende der Unterrichtseinheit zu erkennen.</w:t>
      </w:r>
    </w:p>
    <w:p w:rsidR="004027D2" w:rsidRDefault="004027D2" w:rsidP="004027D2">
      <w:r>
        <w:t>Im zweiten Teil der ersten Doppelstunde wiederholen die Schüler die Übersetzungsm</w:t>
      </w:r>
      <w:r>
        <w:t>e</w:t>
      </w:r>
      <w:r>
        <w:t>thode, die sie bereits in der Lehrbuchphase erlernt haben. Dabei ist es weniger wichtig, auf welche Methode sie sich stützen (Konstruktions- oder Dreischrittmethode), als vie</w:t>
      </w:r>
      <w:r>
        <w:t>l</w:t>
      </w:r>
      <w:r>
        <w:t>mehr, dass sie eine (oder mehrere) Methode(n) anwenden.</w:t>
      </w:r>
    </w:p>
    <w:p w:rsidR="00B44181" w:rsidRDefault="00B44181" w:rsidP="00D9672F">
      <w:r>
        <w:t>Das zentrale Problem jeder Übersetzung sind beim traditionellen wie beim kompetenzor</w:t>
      </w:r>
      <w:r>
        <w:t>i</w:t>
      </w:r>
      <w:r>
        <w:t xml:space="preserve">entierten Unterricht die Vokabelkenntnisse. Deshalb wird die Förderung methodischer Kompetenzen im Unterricht ergänzt durch </w:t>
      </w:r>
      <w:r w:rsidR="00D036FB">
        <w:t xml:space="preserve">Vokabelwiederholung in der </w:t>
      </w:r>
      <w:r>
        <w:t>Hausaufgabe.</w:t>
      </w:r>
      <w:r w:rsidR="004109C3">
        <w:t xml:space="preserve"> </w:t>
      </w:r>
      <w:r w:rsidR="00D036FB">
        <w:t>D</w:t>
      </w:r>
      <w:r w:rsidR="00D036FB">
        <w:t>a</w:t>
      </w:r>
      <w:r w:rsidR="00D036FB">
        <w:t xml:space="preserve">bei werden keine neue Vokabeln gelernt, sondern mit Hilfe des </w:t>
      </w:r>
      <w:r w:rsidR="004109C3">
        <w:t>Grundwortschatz</w:t>
      </w:r>
      <w:r w:rsidR="00D036FB">
        <w:t>es</w:t>
      </w:r>
      <w:r w:rsidR="004109C3">
        <w:t xml:space="preserve"> „adeo“ </w:t>
      </w:r>
      <w:r w:rsidR="00D036FB">
        <w:t xml:space="preserve">die bekannten Vokabeln des </w:t>
      </w:r>
      <w:r w:rsidR="004109C3">
        <w:t>Lehrwerk</w:t>
      </w:r>
      <w:r w:rsidR="00D036FB">
        <w:t>s</w:t>
      </w:r>
      <w:r w:rsidR="004109C3">
        <w:t xml:space="preserve"> „prima“</w:t>
      </w:r>
      <w:r w:rsidR="00D036FB">
        <w:t xml:space="preserve"> vertieft: Beide </w:t>
      </w:r>
      <w:r w:rsidR="004109C3">
        <w:t>Wortschätze entsprechen</w:t>
      </w:r>
      <w:r w:rsidR="002C32ED">
        <w:t xml:space="preserve"> </w:t>
      </w:r>
      <w:r w:rsidR="00D036FB">
        <w:t xml:space="preserve">sich </w:t>
      </w:r>
      <w:r w:rsidR="004377E6">
        <w:t>weitgehend</w:t>
      </w:r>
      <w:r w:rsidR="00D036FB">
        <w:t xml:space="preserve">, wobei </w:t>
      </w:r>
      <w:r w:rsidR="002C32ED">
        <w:t xml:space="preserve">in „adeo“ </w:t>
      </w:r>
      <w:r w:rsidR="00D036FB">
        <w:t xml:space="preserve">zusätzlich </w:t>
      </w:r>
      <w:r w:rsidR="002C32ED">
        <w:t xml:space="preserve">Lexem-, Wort- und Sachfelder </w:t>
      </w:r>
      <w:r w:rsidR="00D036FB">
        <w:t>das Verstän</w:t>
      </w:r>
      <w:r w:rsidR="00D036FB">
        <w:t>d</w:t>
      </w:r>
      <w:r w:rsidR="00D036FB">
        <w:t>nis für die Vokabeln auf eine breitere Grundlage stellen</w:t>
      </w:r>
      <w:r w:rsidR="004109C3">
        <w:t>. Wöchentliche Tests sollen zur Lernmotivation beitragen und durch die Vielfalt der Aufgabentypen einem eindimension</w:t>
      </w:r>
      <w:r w:rsidR="004109C3">
        <w:t>a</w:t>
      </w:r>
      <w:r w:rsidR="004109C3">
        <w:t>len Bedeutungslernen entgegenwirken.</w:t>
      </w:r>
    </w:p>
    <w:p w:rsidR="00B44181" w:rsidRDefault="009C7605" w:rsidP="004027D2">
      <w:pPr>
        <w:keepNext/>
        <w:spacing w:before="240"/>
        <w:jc w:val="center"/>
        <w:rPr>
          <w:i/>
        </w:rPr>
      </w:pPr>
      <w:r>
        <w:rPr>
          <w:i/>
        </w:rPr>
        <w:t xml:space="preserve">2. Doppelstunde: </w:t>
      </w:r>
      <w:r w:rsidR="00860FB7">
        <w:rPr>
          <w:i/>
        </w:rPr>
        <w:t>Vorentlastung der Übersetzung von Gall.6,21-22</w:t>
      </w:r>
    </w:p>
    <w:p w:rsidR="00F32207" w:rsidRDefault="00F32207" w:rsidP="00F32207">
      <w:pPr>
        <w:rPr>
          <w:color w:val="FF0000"/>
          <w:sz w:val="20"/>
        </w:rPr>
      </w:pPr>
      <w:r w:rsidRPr="00313B91">
        <w:rPr>
          <w:noProof/>
          <w:sz w:val="20"/>
          <w:lang w:val="de-DE"/>
        </w:rPr>
        <w:drawing>
          <wp:inline distT="0" distB="0" distL="0" distR="0">
            <wp:extent cx="104775" cy="104775"/>
            <wp:effectExtent l="19050" t="0" r="9525" b="0"/>
            <wp:docPr id="5"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004027D2">
        <w:rPr>
          <w:color w:val="FF0000"/>
          <w:sz w:val="20"/>
        </w:rPr>
        <w:t>Diagnoseabhängiges Wiederholen und Üben</w:t>
      </w:r>
    </w:p>
    <w:p w:rsidR="004027D2" w:rsidRDefault="004027D2" w:rsidP="004027D2">
      <w:pPr>
        <w:spacing w:before="0" w:line="360" w:lineRule="auto"/>
        <w:rPr>
          <w:color w:val="FF0000"/>
          <w:sz w:val="20"/>
        </w:rPr>
      </w:pPr>
      <w:r w:rsidRPr="007C2F4C">
        <w:rPr>
          <w:noProof/>
          <w:sz w:val="20"/>
          <w:lang w:val="de-DE"/>
        </w:rPr>
        <w:drawing>
          <wp:inline distT="0" distB="0" distL="0" distR="0">
            <wp:extent cx="104775" cy="104775"/>
            <wp:effectExtent l="19050" t="0" r="9525" b="0"/>
            <wp:docPr id="19"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Pr>
          <w:color w:val="FF0000"/>
          <w:sz w:val="20"/>
        </w:rPr>
        <w:t xml:space="preserve"> Zweite Vorentlastung (für Gall.6,21-22): Erschließung von Wortbedeutungen</w:t>
      </w:r>
    </w:p>
    <w:p w:rsidR="004027D2" w:rsidRDefault="004027D2" w:rsidP="004027D2">
      <w:r>
        <w:t>Die Ergebnisse der Lernstandsdiagnose zu Beginn der Unterrichtseinheit werden in vielf</w:t>
      </w:r>
      <w:r>
        <w:t>a</w:t>
      </w:r>
      <w:r>
        <w:t>cher Weise genützt: In der zweiten Doppelstunde erhalten die Schüler Übungen zu den Arbeitsbereichen, in denen sie bei der Lernstandsdiagnose Schwächen zeigten, in der dri</w:t>
      </w:r>
      <w:r>
        <w:t>t</w:t>
      </w:r>
      <w:r>
        <w:t>ten und fünften Doppelstunde sind die Übersetzungstexte mit individuell angepassten Hi</w:t>
      </w:r>
      <w:r>
        <w:t>l</w:t>
      </w:r>
      <w:r>
        <w:t>fen ausgestattet und auch die Beratung der Schüler und Eltern kann sich auf die Erge</w:t>
      </w:r>
      <w:r>
        <w:t>b</w:t>
      </w:r>
      <w:r>
        <w:t>nisse der Diagnose-Tests stützen. Die diagnoseabhängigen Übungen sind hier in Wor</w:t>
      </w:r>
      <w:r>
        <w:t>t</w:t>
      </w:r>
      <w:r>
        <w:t>wahl und Grammatikphänomenen auf den Germanenexkurs ausgerichtet, grundsätzlich könnten aber beliebigen Übungen zu Wortschatz, Satz- und Formenlehre herangezogen werden.</w:t>
      </w:r>
    </w:p>
    <w:p w:rsidR="004027D2" w:rsidRDefault="004027D2" w:rsidP="004027D2">
      <w:r>
        <w:t>In der zweiten Vorentlastungsphase soll den Schülern methodische Kompetenz zur E</w:t>
      </w:r>
      <w:r>
        <w:t>r</w:t>
      </w:r>
      <w:r>
        <w:t>schließung neuer Vokabeln vermittelt. Dabei gibt es vor allem zwei Möglichkeiten: Wor</w:t>
      </w:r>
      <w:r>
        <w:t>t</w:t>
      </w:r>
      <w:r>
        <w:t>analyse und Lexikongebrauch.</w:t>
      </w:r>
    </w:p>
    <w:p w:rsidR="00471370" w:rsidRDefault="00471370" w:rsidP="00D9672F">
      <w:r>
        <w:t xml:space="preserve">Ein Vergleich der Wörter in den ersten zwei Kapiteln des Germanenexkurses mit dem Wortschatz von adeo ergibt, dass </w:t>
      </w:r>
      <w:r w:rsidR="0045470A">
        <w:t>nach Abzug der Eigennamen nur 37</w:t>
      </w:r>
      <w:r>
        <w:t xml:space="preserve"> von 20</w:t>
      </w:r>
      <w:r w:rsidR="0045470A">
        <w:t>8</w:t>
      </w:r>
      <w:r>
        <w:t xml:space="preserve"> Wörtern bleiben, deren Bedeutung erschlossen werden muss. Die Kenntnis typischer Prä- und Su</w:t>
      </w:r>
      <w:r>
        <w:t>f</w:t>
      </w:r>
      <w:r>
        <w:t xml:space="preserve">fixe </w:t>
      </w:r>
      <w:r w:rsidR="0045470A">
        <w:t xml:space="preserve">sowie Lehnwörter </w:t>
      </w:r>
      <w:r>
        <w:t>ermöglic</w:t>
      </w:r>
      <w:r w:rsidR="0045470A">
        <w:t>hen es, die Bedeutung von etwa 22</w:t>
      </w:r>
      <w:r>
        <w:t xml:space="preserve"> dieser </w:t>
      </w:r>
      <w:r w:rsidR="0045470A">
        <w:t>37</w:t>
      </w:r>
      <w:r>
        <w:t xml:space="preserve"> Wörter zu erschließen. Somit sind nur noch </w:t>
      </w:r>
      <w:r w:rsidR="0045470A">
        <w:t xml:space="preserve">15 </w:t>
      </w:r>
      <w:r>
        <w:t xml:space="preserve">Wörter </w:t>
      </w:r>
      <w:r w:rsidR="0045470A">
        <w:t xml:space="preserve">mittels </w:t>
      </w:r>
      <w:r>
        <w:t xml:space="preserve">Lexikon </w:t>
      </w:r>
      <w:r w:rsidR="0045470A">
        <w:t>zu erschließen</w:t>
      </w:r>
      <w:r>
        <w:t>.</w:t>
      </w:r>
    </w:p>
    <w:p w:rsidR="00F32207" w:rsidRDefault="008E5113" w:rsidP="00D9672F">
      <w:r>
        <w:t>Methodische Bedeutungserschließung durch Wortanalyse setzt das Wissen von Prä- und Suffixen voraus. Die Schüler erhalten deshalb zunächst ein Arbeitsblatt mit den wichtig</w:t>
      </w:r>
      <w:r>
        <w:t>s</w:t>
      </w:r>
      <w:r>
        <w:t>ten Wortbildungselementen</w:t>
      </w:r>
      <w:r w:rsidR="0015627E">
        <w:t>.</w:t>
      </w:r>
      <w:r>
        <w:t xml:space="preserve"> </w:t>
      </w:r>
      <w:r w:rsidR="0015627E">
        <w:t>D</w:t>
      </w:r>
      <w:r>
        <w:t xml:space="preserve">iese Elemente </w:t>
      </w:r>
      <w:r w:rsidR="0015627E">
        <w:t xml:space="preserve">versuchen sie </w:t>
      </w:r>
      <w:r>
        <w:t xml:space="preserve">in unbekannten Wörtern von Gall.6,21-22 zu erkennen und </w:t>
      </w:r>
      <w:r w:rsidR="0015627E">
        <w:t>mit ihrer Hilfe die Bedeutung der unbekannten Vokabeln zu erschließen</w:t>
      </w:r>
      <w:r>
        <w:t>.</w:t>
      </w:r>
    </w:p>
    <w:p w:rsidR="0015627E" w:rsidRDefault="00AA5D7C" w:rsidP="00D9672F">
      <w:r>
        <w:t xml:space="preserve">Wahrscheinlich zu </w:t>
      </w:r>
      <w:r w:rsidR="00D4778E">
        <w:t>schwer für die Bedeutungserschließung durch Wortanalyse sind occu</w:t>
      </w:r>
      <w:r w:rsidR="00D4778E">
        <w:t>l</w:t>
      </w:r>
      <w:r w:rsidR="00D4778E">
        <w:t>tatio, perluuntur und promiscue. Sie bleiben deshalb der Bedeutungserschließung mit L</w:t>
      </w:r>
      <w:r w:rsidR="00D4778E">
        <w:t>e</w:t>
      </w:r>
      <w:r w:rsidR="00D4778E">
        <w:t xml:space="preserve">xikon vorbehalten, die in der Vorentlastungsphase als </w:t>
      </w:r>
      <w:r w:rsidR="008024BA">
        <w:t>methodisch durchzuführender A</w:t>
      </w:r>
      <w:r w:rsidR="008024BA">
        <w:t>r</w:t>
      </w:r>
      <w:r w:rsidR="008024BA">
        <w:t>beitsgang</w:t>
      </w:r>
      <w:r w:rsidR="00D4778E">
        <w:t xml:space="preserve"> erlernt werden soll.</w:t>
      </w:r>
      <w:r w:rsidR="008024BA">
        <w:t xml:space="preserve"> Ein Arbeitsblatt stellt zunächst die vier </w:t>
      </w:r>
      <w:r w:rsidR="00D30486">
        <w:t xml:space="preserve">grundlegenden </w:t>
      </w:r>
      <w:r w:rsidR="008024BA">
        <w:t xml:space="preserve">Schritte </w:t>
      </w:r>
      <w:r w:rsidR="00D30486">
        <w:t xml:space="preserve">bei der Lexikonverwendung </w:t>
      </w:r>
      <w:r w:rsidR="008024BA">
        <w:t>dar und dient dann der konkreten Einübung dieser Schritte.</w:t>
      </w:r>
    </w:p>
    <w:p w:rsidR="00884B62" w:rsidRDefault="00884B62" w:rsidP="00D9672F">
      <w:r>
        <w:t>Zu den umstrittensten Fragen des Lateinunterrichts zählt die der richtigen Übersetzung</w:t>
      </w:r>
      <w:r>
        <w:t>s</w:t>
      </w:r>
      <w:r>
        <w:t xml:space="preserve">methode. In Konkurrenz stehen dabei vor allem die traditionelle Konstruktions- und die modernere Dreischrittmethode. </w:t>
      </w:r>
      <w:r w:rsidR="00EC5582">
        <w:t>Hinsichtlich der Methodenkompetenz ist allerdings weniger wichtig, welche Methode ein Lehrer empfiehlt, als vielmehr, dass der Schüler überhaupt eine oder in diesem Fall besser zwei Methoden anwenden kann. Wieder zeigt ein Arbeit</w:t>
      </w:r>
      <w:r w:rsidR="00EC5582">
        <w:t>s</w:t>
      </w:r>
      <w:r w:rsidR="00EC5582">
        <w:t>blatt die einzelnen Schritte der empfohlenen Übersetzungsmethode (eine Mischung aus Konstruktions- und Dreischrittmethode) und fordert dann zur Einübung an einem Beispie</w:t>
      </w:r>
      <w:r w:rsidR="00EC5582">
        <w:t>l</w:t>
      </w:r>
      <w:r w:rsidR="00EC5582">
        <w:t>satz auf.</w:t>
      </w:r>
    </w:p>
    <w:p w:rsidR="00195D1D" w:rsidRDefault="00195D1D" w:rsidP="00D9672F">
      <w:r>
        <w:t>Am Ende der Doppelstunde sollten die Schüler somit die grundlegenden Methoden zur Wort- und Satzerschließung wiederholt oder neu gelernt haben.</w:t>
      </w:r>
    </w:p>
    <w:p w:rsidR="00001419" w:rsidRDefault="00001419" w:rsidP="00001419">
      <w:pPr>
        <w:spacing w:before="240"/>
        <w:jc w:val="center"/>
        <w:rPr>
          <w:i/>
        </w:rPr>
      </w:pPr>
      <w:r>
        <w:rPr>
          <w:i/>
        </w:rPr>
        <w:t>3. Doppelstunde: Hilfendiff</w:t>
      </w:r>
      <w:r w:rsidR="009D4F0E">
        <w:rPr>
          <w:i/>
        </w:rPr>
        <w:t>erenzierte</w:t>
      </w:r>
      <w:r>
        <w:rPr>
          <w:i/>
        </w:rPr>
        <w:t xml:space="preserve"> Übersetzung von Gall.6,21-22</w:t>
      </w:r>
    </w:p>
    <w:p w:rsidR="00001419" w:rsidRDefault="00001419" w:rsidP="00001419">
      <w:pPr>
        <w:rPr>
          <w:i/>
          <w:color w:val="FF0000"/>
          <w:sz w:val="20"/>
        </w:rPr>
      </w:pPr>
      <w:r w:rsidRPr="00313B91">
        <w:rPr>
          <w:noProof/>
          <w:sz w:val="20"/>
          <w:lang w:val="de-DE"/>
        </w:rPr>
        <w:drawing>
          <wp:inline distT="0" distB="0" distL="0" distR="0">
            <wp:extent cx="104775" cy="104775"/>
            <wp:effectExtent l="19050" t="0" r="9525" b="0"/>
            <wp:docPr id="6"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00B3364F">
        <w:rPr>
          <w:color w:val="FF0000"/>
          <w:sz w:val="20"/>
        </w:rPr>
        <w:t>Hilfendifferenzierte Übersetzungstexte</w:t>
      </w:r>
      <w:r>
        <w:rPr>
          <w:color w:val="FF0000"/>
          <w:sz w:val="20"/>
        </w:rPr>
        <w:t xml:space="preserve"> Gall. 6,21-22</w:t>
      </w:r>
    </w:p>
    <w:p w:rsidR="00F54A03" w:rsidRDefault="00B24610" w:rsidP="00D9672F">
      <w:r>
        <w:t xml:space="preserve">Aufgrund der Ergebnisse der Lernstandsdiagnose zu Beginn der Unterrichtseinheit wird die Lerngruppe in mehrere Binnengruppen </w:t>
      </w:r>
      <w:r w:rsidR="00B73872">
        <w:t>aufgeteilt. Diese</w:t>
      </w:r>
      <w:r>
        <w:t xml:space="preserve"> erhalten Arbeitsblätter mit dem Text Gall.6,21-22</w:t>
      </w:r>
      <w:r w:rsidR="00B73872">
        <w:t>,</w:t>
      </w:r>
      <w:r>
        <w:t xml:space="preserve"> </w:t>
      </w:r>
      <w:r w:rsidR="00B73872">
        <w:t xml:space="preserve">einem Additum </w:t>
      </w:r>
      <w:r>
        <w:t>und unter</w:t>
      </w:r>
      <w:r w:rsidR="00F54A03">
        <w:t>schiedlichen Übersetzungshilfen:</w:t>
      </w:r>
    </w:p>
    <w:p w:rsidR="00F54A03" w:rsidRDefault="00F54A03" w:rsidP="00810B58">
      <w:pPr>
        <w:pStyle w:val="00H051"/>
      </w:pPr>
      <w:r>
        <w:t>W-Gruppe: Hilfen zum Wortschatz in Form von Bedeutungserklärungen auch bereits g</w:t>
      </w:r>
      <w:r>
        <w:t>e</w:t>
      </w:r>
      <w:r>
        <w:t>lernter Wörter</w:t>
      </w:r>
      <w:r w:rsidR="00CE1636">
        <w:t xml:space="preserve"> (z.B. ne ... quidem – nicht einmal)</w:t>
      </w:r>
    </w:p>
    <w:p w:rsidR="00F54A03" w:rsidRDefault="00F54A03" w:rsidP="00F54A03">
      <w:pPr>
        <w:pStyle w:val="00H051"/>
        <w:spacing w:before="0"/>
      </w:pPr>
      <w:r>
        <w:t xml:space="preserve">S-Gruppe: Hilfen zur Satzlehre </w:t>
      </w:r>
      <w:r w:rsidR="00CE1636">
        <w:t xml:space="preserve">durch die Darstellung des Satzes: Einrückmethode </w:t>
      </w:r>
      <w:r w:rsidR="00480D75">
        <w:t>(durch einen Nebensatz verwirklichte Satzglieder oder Satzgliedteile werden nach rechts ei</w:t>
      </w:r>
      <w:r w:rsidR="00480D75">
        <w:t>n</w:t>
      </w:r>
      <w:r w:rsidR="00480D75">
        <w:t>gerückt)</w:t>
      </w:r>
      <w:r w:rsidR="0033391A">
        <w:t xml:space="preserve">, Kursivdruck der </w:t>
      </w:r>
      <w:r w:rsidR="000836C7">
        <w:t>S</w:t>
      </w:r>
      <w:r w:rsidR="0033391A">
        <w:t>ätze</w:t>
      </w:r>
      <w:r w:rsidR="000836C7">
        <w:t xml:space="preserve"> </w:t>
      </w:r>
      <w:r w:rsidR="002D6F3A">
        <w:t xml:space="preserve">innerhalb eines Satzes </w:t>
      </w:r>
      <w:r w:rsidR="0033391A">
        <w:t>verbindenden Konjunktionen</w:t>
      </w:r>
      <w:r w:rsidR="00480D75">
        <w:t xml:space="preserve"> </w:t>
      </w:r>
      <w:r w:rsidR="00CE1636">
        <w:t xml:space="preserve">und </w:t>
      </w:r>
      <w:r w:rsidR="005D49F9">
        <w:t xml:space="preserve">Unterstreichung </w:t>
      </w:r>
      <w:r w:rsidR="00CE1636">
        <w:t>der Prädikate.</w:t>
      </w:r>
    </w:p>
    <w:p w:rsidR="00F54A03" w:rsidRDefault="00F54A03" w:rsidP="00F54A03">
      <w:pPr>
        <w:pStyle w:val="00H051"/>
        <w:spacing w:before="0"/>
      </w:pPr>
      <w:r>
        <w:t>F-Gruppe:</w:t>
      </w:r>
      <w:r w:rsidR="00CE1636">
        <w:t xml:space="preserve"> Hilfen zur Formenlehre durch Hervorhebung syntaktischer Einheiten, die no</w:t>
      </w:r>
      <w:r w:rsidR="00CE1636">
        <w:t>t</w:t>
      </w:r>
      <w:r w:rsidR="00CE1636">
        <w:t xml:space="preserve">falls auch umgestellt werden (z.B. </w:t>
      </w:r>
      <w:r w:rsidR="00903AD8" w:rsidRPr="006D3610">
        <w:t xml:space="preserve">Itaque </w:t>
      </w:r>
      <w:r w:rsidR="00903AD8">
        <w:t xml:space="preserve">  </w:t>
      </w:r>
      <w:r w:rsidR="00903AD8" w:rsidRPr="006D3610">
        <w:t>ea</w:t>
      </w:r>
      <w:r w:rsidR="00903AD8">
        <w:t xml:space="preserve"> loca</w:t>
      </w:r>
      <w:r w:rsidR="00903AD8" w:rsidRPr="006D3610">
        <w:t>,</w:t>
      </w:r>
      <w:r w:rsidR="00903AD8">
        <w:t xml:space="preserve">   </w:t>
      </w:r>
      <w:r w:rsidR="00903AD8" w:rsidRPr="006D3610">
        <w:t xml:space="preserve">quae </w:t>
      </w:r>
      <w:r w:rsidR="00903AD8">
        <w:t xml:space="preserve">  </w:t>
      </w:r>
      <w:r w:rsidR="00903AD8" w:rsidRPr="006D3610">
        <w:t xml:space="preserve">fertilissima Germaniae sunt </w:t>
      </w:r>
      <w:r w:rsidR="00903AD8">
        <w:t>{</w:t>
      </w:r>
      <w:r w:rsidR="00903AD8" w:rsidRPr="006D3610">
        <w:t>loca</w:t>
      </w:r>
      <w:r w:rsidR="00903AD8">
        <w:t>}</w:t>
      </w:r>
      <w:r w:rsidR="00903AD8" w:rsidRPr="006D3610">
        <w:t xml:space="preserve"> </w:t>
      </w:r>
      <w:r w:rsidR="00903AD8">
        <w:t xml:space="preserve">  </w:t>
      </w:r>
      <w:r w:rsidR="00903AD8" w:rsidRPr="006D3610">
        <w:t>circum Hercyniam silvam</w:t>
      </w:r>
      <w:r w:rsidR="00CE1636">
        <w:t>)</w:t>
      </w:r>
      <w:r w:rsidR="00DC6875">
        <w:t xml:space="preserve"> und gegebenenfalls durch Längenstriche (z.B. hōc).</w:t>
      </w:r>
    </w:p>
    <w:p w:rsidR="00F54A03" w:rsidRDefault="00CE1636" w:rsidP="0025446B">
      <w:r>
        <w:t>Außerdem gibt es Gruppen mit kombinierten Hilfen, als auch eine WS-, WF</w:t>
      </w:r>
      <w:r w:rsidR="00903E08">
        <w:t>-</w:t>
      </w:r>
      <w:r>
        <w:t>, SF</w:t>
      </w:r>
      <w:r w:rsidR="00903E08">
        <w:t>-</w:t>
      </w:r>
      <w:r w:rsidR="00A433A4">
        <w:t xml:space="preserve"> und WSF-Gruppe</w:t>
      </w:r>
      <w:r>
        <w:t>. Schüler, die bei der Lernstandsdiagnose sehr gut abgeschnitten haben, g</w:t>
      </w:r>
      <w:r>
        <w:t>e</w:t>
      </w:r>
      <w:r>
        <w:t xml:space="preserve">hören zur O-Gruppe. Es bleibt ihnen überlassen, </w:t>
      </w:r>
      <w:r w:rsidR="00CF2FCB">
        <w:t xml:space="preserve">das </w:t>
      </w:r>
      <w:r w:rsidR="00810B58">
        <w:t xml:space="preserve">O </w:t>
      </w:r>
      <w:r w:rsidR="00CF2FCB">
        <w:t xml:space="preserve">als </w:t>
      </w:r>
      <w:r w:rsidR="00810B58">
        <w:t xml:space="preserve">„Ohne Hilfen“ oder „Optimi“ </w:t>
      </w:r>
      <w:r w:rsidR="00CF2FCB">
        <w:t xml:space="preserve">zu </w:t>
      </w:r>
      <w:r w:rsidR="00810B58">
        <w:t>deu</w:t>
      </w:r>
      <w:r w:rsidR="00CF2FCB">
        <w:t>ten</w:t>
      </w:r>
      <w:r w:rsidR="00810B58">
        <w:t>.</w:t>
      </w:r>
      <w:r w:rsidR="00711C07">
        <w:t xml:space="preserve"> Natürlich müssen in einer Lateinklasse nicht alle Formen der Hilfegruppen statfi</w:t>
      </w:r>
      <w:r w:rsidR="00711C07">
        <w:t>n</w:t>
      </w:r>
      <w:r w:rsidR="00711C07">
        <w:t>den, sondern der Lehrer setzt aufgrund der Testergebnisse sinnvolle Teams zusammen.</w:t>
      </w:r>
    </w:p>
    <w:p w:rsidR="00001419" w:rsidRDefault="00B24610" w:rsidP="00D9672F">
      <w:r>
        <w:t xml:space="preserve">Alle </w:t>
      </w:r>
      <w:r w:rsidR="006F0482">
        <w:t xml:space="preserve">aufgestellten </w:t>
      </w:r>
      <w:r w:rsidR="00285916">
        <w:t>Gruppen</w:t>
      </w:r>
      <w:r>
        <w:t xml:space="preserve"> sollen zunächst den Text vorerschließen (mittels der erkennb</w:t>
      </w:r>
      <w:r>
        <w:t>a</w:t>
      </w:r>
      <w:r>
        <w:t>ren Sachfelder in den einzelnen Abschnitten) u</w:t>
      </w:r>
      <w:r w:rsidR="00B73872">
        <w:t>n</w:t>
      </w:r>
      <w:r>
        <w:t xml:space="preserve">d dann </w:t>
      </w:r>
      <w:r w:rsidR="00B73872">
        <w:t>übersetzen. Das freiwillige Add</w:t>
      </w:r>
      <w:r w:rsidR="00B73872">
        <w:t>i</w:t>
      </w:r>
      <w:r w:rsidR="00B73872">
        <w:t xml:space="preserve">tum kann </w:t>
      </w:r>
      <w:r w:rsidR="00312FCD">
        <w:t>bearbeitet</w:t>
      </w:r>
      <w:r w:rsidR="00B73872">
        <w:t xml:space="preserve"> werden, wenn eine Gruppe deutlich früher als die anderen Gruppen den Pflichttext übersetzt hat. Die Übersetzungen der einzelnen Gruppen werden anschli</w:t>
      </w:r>
      <w:r w:rsidR="00B73872">
        <w:t>e</w:t>
      </w:r>
      <w:r w:rsidR="00B73872">
        <w:t>ßend im Plenum überprüft.</w:t>
      </w:r>
    </w:p>
    <w:p w:rsidR="002D069E" w:rsidRDefault="002D069E" w:rsidP="002D069E">
      <w:pPr>
        <w:spacing w:before="240"/>
        <w:jc w:val="center"/>
        <w:rPr>
          <w:i/>
        </w:rPr>
      </w:pPr>
      <w:r>
        <w:rPr>
          <w:i/>
        </w:rPr>
        <w:t xml:space="preserve">4. Doppelstunde: </w:t>
      </w:r>
      <w:r w:rsidR="001A03B4">
        <w:rPr>
          <w:i/>
        </w:rPr>
        <w:t>T</w:t>
      </w:r>
      <w:r w:rsidR="0059053B">
        <w:rPr>
          <w:i/>
        </w:rPr>
        <w:t>hemen</w:t>
      </w:r>
      <w:r>
        <w:rPr>
          <w:i/>
        </w:rPr>
        <w:t xml:space="preserve">differenziertes </w:t>
      </w:r>
      <w:r w:rsidR="00740F6B">
        <w:rPr>
          <w:i/>
        </w:rPr>
        <w:t>Textverstehen</w:t>
      </w:r>
      <w:r>
        <w:rPr>
          <w:i/>
        </w:rPr>
        <w:t xml:space="preserve"> von Gall.6,21-22</w:t>
      </w:r>
    </w:p>
    <w:p w:rsidR="002D069E" w:rsidRDefault="002D069E" w:rsidP="002D069E">
      <w:pPr>
        <w:rPr>
          <w:color w:val="FF0000"/>
          <w:sz w:val="20"/>
        </w:rPr>
      </w:pPr>
      <w:r w:rsidRPr="00313B91">
        <w:rPr>
          <w:noProof/>
          <w:sz w:val="20"/>
          <w:lang w:val="de-DE"/>
        </w:rPr>
        <w:drawing>
          <wp:inline distT="0" distB="0" distL="0" distR="0">
            <wp:extent cx="104775" cy="104775"/>
            <wp:effectExtent l="19050" t="0" r="9525" b="0"/>
            <wp:docPr id="7"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009E756A">
        <w:rPr>
          <w:color w:val="FF0000"/>
          <w:sz w:val="20"/>
        </w:rPr>
        <w:t>Themen</w:t>
      </w:r>
      <w:r>
        <w:rPr>
          <w:color w:val="FF0000"/>
          <w:sz w:val="20"/>
        </w:rPr>
        <w:t xml:space="preserve">differenziertes </w:t>
      </w:r>
      <w:r w:rsidR="003C731B">
        <w:rPr>
          <w:color w:val="FF0000"/>
          <w:sz w:val="20"/>
        </w:rPr>
        <w:t>Textverstehen</w:t>
      </w:r>
      <w:r>
        <w:rPr>
          <w:color w:val="FF0000"/>
          <w:sz w:val="20"/>
        </w:rPr>
        <w:t xml:space="preserve"> Gall. 6,21-22</w:t>
      </w:r>
    </w:p>
    <w:p w:rsidR="00664C29" w:rsidRDefault="00664C29" w:rsidP="00664C29">
      <w:pPr>
        <w:spacing w:before="0"/>
        <w:rPr>
          <w:color w:val="FF0000"/>
          <w:sz w:val="20"/>
        </w:rPr>
      </w:pPr>
      <w:r w:rsidRPr="00313B91">
        <w:rPr>
          <w:noProof/>
          <w:sz w:val="20"/>
          <w:lang w:val="de-DE"/>
        </w:rPr>
        <w:drawing>
          <wp:inline distT="0" distB="0" distL="0" distR="0">
            <wp:extent cx="104775" cy="104775"/>
            <wp:effectExtent l="19050" t="0" r="9525" b="0"/>
            <wp:docPr id="17"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Materialien zum Germanenexkurs</w:t>
      </w:r>
    </w:p>
    <w:p w:rsidR="003C731B" w:rsidRDefault="003C731B" w:rsidP="003C731B">
      <w:pPr>
        <w:spacing w:before="0"/>
        <w:rPr>
          <w:color w:val="FF0000"/>
          <w:sz w:val="20"/>
        </w:rPr>
      </w:pPr>
      <w:r w:rsidRPr="00313B91">
        <w:rPr>
          <w:noProof/>
          <w:sz w:val="20"/>
          <w:lang w:val="de-DE"/>
        </w:rPr>
        <w:drawing>
          <wp:inline distT="0" distB="0" distL="0" distR="0">
            <wp:extent cx="104775" cy="104775"/>
            <wp:effectExtent l="19050" t="0" r="9525" b="0"/>
            <wp:docPr id="8"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 xml:space="preserve">Tafelanschrieb zum </w:t>
      </w:r>
      <w:r w:rsidR="001A03B4">
        <w:rPr>
          <w:color w:val="FF0000"/>
          <w:sz w:val="20"/>
        </w:rPr>
        <w:t>themen</w:t>
      </w:r>
      <w:r>
        <w:rPr>
          <w:color w:val="FF0000"/>
          <w:sz w:val="20"/>
        </w:rPr>
        <w:t xml:space="preserve">differenzierten Textverstehen </w:t>
      </w:r>
      <w:r w:rsidR="009F5AF0">
        <w:rPr>
          <w:color w:val="FF0000"/>
          <w:sz w:val="20"/>
        </w:rPr>
        <w:t xml:space="preserve">Gall. </w:t>
      </w:r>
      <w:r>
        <w:rPr>
          <w:color w:val="FF0000"/>
          <w:sz w:val="20"/>
        </w:rPr>
        <w:t>6,21-22</w:t>
      </w:r>
    </w:p>
    <w:p w:rsidR="00F746BF" w:rsidRDefault="00F746BF" w:rsidP="00F746BF">
      <w:pPr>
        <w:spacing w:before="0"/>
        <w:rPr>
          <w:color w:val="FF0000"/>
          <w:sz w:val="20"/>
        </w:rPr>
      </w:pPr>
      <w:r w:rsidRPr="00313B91">
        <w:rPr>
          <w:noProof/>
          <w:sz w:val="20"/>
          <w:lang w:val="de-DE"/>
        </w:rPr>
        <w:drawing>
          <wp:inline distT="0" distB="0" distL="0" distR="0">
            <wp:extent cx="104775" cy="104775"/>
            <wp:effectExtent l="19050" t="0" r="9525" b="0"/>
            <wp:docPr id="13"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Vorentlastung der Übersetzung Gall. 6,23-24</w:t>
      </w:r>
      <w:r w:rsidR="004F1A58">
        <w:rPr>
          <w:color w:val="FF0000"/>
          <w:sz w:val="20"/>
        </w:rPr>
        <w:t xml:space="preserve"> durch Wortanalyse</w:t>
      </w:r>
    </w:p>
    <w:p w:rsidR="002D069E" w:rsidRDefault="00405053" w:rsidP="00D9672F">
      <w:r>
        <w:t xml:space="preserve">Auch wenn dem Verstehen von Texten in den modernen Lehrwerken immer mehr Platz eingeräumt wird, </w:t>
      </w:r>
      <w:r w:rsidR="00962696">
        <w:t>gleicht der Übergang von einem bebilderten und kommentierten Lekt</w:t>
      </w:r>
      <w:r w:rsidR="00962696">
        <w:t>i</w:t>
      </w:r>
      <w:r w:rsidR="00962696">
        <w:t xml:space="preserve">onstext zu nackten Caesarkapiteln aus der Sicht der meisten Schüler doch immer noch eher einem Sprung als einem gewöhnlich Lernschritt. Um so tröstlicher ist die Erkenntnis, dass </w:t>
      </w:r>
      <w:r w:rsidR="00EB4FAB">
        <w:t xml:space="preserve">die </w:t>
      </w:r>
      <w:r w:rsidR="00531DEE">
        <w:t>grundlegende</w:t>
      </w:r>
      <w:r w:rsidR="00EB4FAB">
        <w:t>n</w:t>
      </w:r>
      <w:r w:rsidR="00962696">
        <w:t xml:space="preserve"> methodische</w:t>
      </w:r>
      <w:r w:rsidR="00EB4FAB">
        <w:t>n</w:t>
      </w:r>
      <w:r w:rsidR="00962696">
        <w:t xml:space="preserve"> </w:t>
      </w:r>
      <w:r w:rsidR="00531DEE">
        <w:t>Aspekte</w:t>
      </w:r>
      <w:r w:rsidR="00962696">
        <w:t xml:space="preserve"> </w:t>
      </w:r>
      <w:r w:rsidR="00531DEE">
        <w:t xml:space="preserve">des </w:t>
      </w:r>
      <w:r w:rsidR="002773AA">
        <w:t>Textverstehens</w:t>
      </w:r>
      <w:r w:rsidR="00531DEE">
        <w:t xml:space="preserve"> </w:t>
      </w:r>
      <w:r w:rsidR="00EB4FAB">
        <w:t>überschaubar sind</w:t>
      </w:r>
      <w:r w:rsidR="00531DEE">
        <w:t>.</w:t>
      </w:r>
    </w:p>
    <w:p w:rsidR="00001419" w:rsidRDefault="00531DEE" w:rsidP="00D9672F">
      <w:r>
        <w:t>Bei jedem Text kann zwischen unmittelbarem Textverständnis, dem Verstehen von Einze</w:t>
      </w:r>
      <w:r>
        <w:t>l</w:t>
      </w:r>
      <w:r>
        <w:t xml:space="preserve">themen und des gesamten Textes unterschieden werden. Außerdem lassen sich </w:t>
      </w:r>
      <w:r w:rsidR="00621BFD">
        <w:t>texti</w:t>
      </w:r>
      <w:r w:rsidR="00621BFD">
        <w:t>m</w:t>
      </w:r>
      <w:r w:rsidR="00621BFD">
        <w:t>manente A</w:t>
      </w:r>
      <w:r>
        <w:t xml:space="preserve">nalyse und </w:t>
      </w:r>
      <w:r w:rsidR="00621BFD">
        <w:t xml:space="preserve">texttranszendierende </w:t>
      </w:r>
      <w:r>
        <w:t xml:space="preserve">Interpretation unter </w:t>
      </w:r>
      <w:r w:rsidR="004B7E9F">
        <w:t xml:space="preserve">Einbeziehung </w:t>
      </w:r>
      <w:r>
        <w:t xml:space="preserve">textexterner </w:t>
      </w:r>
      <w:r w:rsidR="004B7E9F">
        <w:t>Gesichtspunkte</w:t>
      </w:r>
      <w:r>
        <w:t xml:space="preserve"> (Biographie, Gattungsgeschichte, Archäologische Quellen, Rezeptionsg</w:t>
      </w:r>
      <w:r>
        <w:t>e</w:t>
      </w:r>
      <w:r>
        <w:t>schichte usw.) unterscheiden.</w:t>
      </w:r>
      <w:r w:rsidR="004B7E9F">
        <w:t xml:space="preserve"> Während sich das Textverstehen bei der eher handwerkl</w:t>
      </w:r>
      <w:r w:rsidR="004B7E9F">
        <w:t>i</w:t>
      </w:r>
      <w:r w:rsidR="004B7E9F">
        <w:t>chen Analyse auf sicherem</w:t>
      </w:r>
      <w:r w:rsidR="002C1F0F">
        <w:t xml:space="preserve"> </w:t>
      </w:r>
      <w:r w:rsidR="004B7E9F">
        <w:t>Boden befindet, verlässt es mit der meist spannenderen Inte</w:t>
      </w:r>
      <w:r w:rsidR="004B7E9F">
        <w:t>r</w:t>
      </w:r>
      <w:r w:rsidR="004B7E9F">
        <w:t>pretation denselben.</w:t>
      </w:r>
    </w:p>
    <w:p w:rsidR="00D30486" w:rsidRDefault="00D30486" w:rsidP="00D9672F">
      <w:r>
        <w:t>In der Doppelstunde, die dem Verstehen des übersetzten Textes gewidmet ist, können jeweils zwei Schüler nach Interesse wählen, ob sie sich den Themen Religion, Lebensi</w:t>
      </w:r>
      <w:r>
        <w:t>n</w:t>
      </w:r>
      <w:r>
        <w:t>halt und Sexualität (Kapitel 21) oder den Themen Ernährung und Agrarverfassung (Kapitel 22) widmen wollen. Dabei ist jedes Arbeitsblatt konsequent in Fragen zum unmittelbaren Textverständnis, zu Einzelthemen und zum Gesamtverständnis gegliedert.</w:t>
      </w:r>
      <w:r w:rsidR="00956C79">
        <w:t xml:space="preserve"> Ein freiwilliges Additum dient wieder, wie bei der Übersetzung, dem sinnvollen zeitlichen Ausgleich zw</w:t>
      </w:r>
      <w:r w:rsidR="00956C79">
        <w:t>i</w:t>
      </w:r>
      <w:r w:rsidR="00956C79">
        <w:t>schen schnelleren und langsameren Teams.</w:t>
      </w:r>
      <w:r w:rsidR="0059053B">
        <w:t xml:space="preserve"> Außerdem steht den Schülern ein Materi</w:t>
      </w:r>
      <w:r w:rsidR="0059053B">
        <w:t>a</w:t>
      </w:r>
      <w:r w:rsidR="0059053B">
        <w:t>lienkonvolut für die texttranszendierende Interpretation zur Verfügung.</w:t>
      </w:r>
    </w:p>
    <w:p w:rsidR="00956C79" w:rsidRDefault="00956C79" w:rsidP="00956C79">
      <w:r>
        <w:t xml:space="preserve">Die Ergebnisse werden im Plenum besprochen und in einem vom Lehrer vorstrukturierten Tafelanschrieb gesichert. Schon während der Partnerarbeit hat er ein aufgeschlagenes Buch als Symbol der Commentarii an die Tafel gezeichnet. </w:t>
      </w:r>
      <w:r w:rsidR="0059053B">
        <w:t>Nun tragen die Schüler t</w:t>
      </w:r>
      <w:r>
        <w:t>ex</w:t>
      </w:r>
      <w:r>
        <w:t>t</w:t>
      </w:r>
      <w:r>
        <w:t xml:space="preserve">analytische Ergebnisse in dieses Buch ein, texttranszendierende </w:t>
      </w:r>
      <w:r w:rsidR="0059053B">
        <w:t xml:space="preserve">Resultate </w:t>
      </w:r>
      <w:r>
        <w:t>dagegen um das Buch herum.</w:t>
      </w:r>
    </w:p>
    <w:p w:rsidR="00AA2FED" w:rsidRDefault="001B0009" w:rsidP="00D9672F">
      <w:r>
        <w:t xml:space="preserve">Beim vorliegenden Text wäre es eine vertane Chance, wenn der Unterricht auf bloßes Textverstehen beschränkt </w:t>
      </w:r>
      <w:r w:rsidR="0059053B">
        <w:t>bliebe</w:t>
      </w:r>
      <w:r>
        <w:t xml:space="preserve">. Caesar </w:t>
      </w:r>
      <w:r w:rsidR="007B7967">
        <w:t xml:space="preserve">selbst </w:t>
      </w:r>
      <w:r>
        <w:t>fordert immer wieder zu einem Vergleich des Verhaltens der Germanen mit dem Verhalten der Kelten und Römer heraus</w:t>
      </w:r>
      <w:r w:rsidR="005E7CC3">
        <w:t xml:space="preserve"> und ein Schüler </w:t>
      </w:r>
      <w:r>
        <w:t xml:space="preserve">wird bei der Lektüre des Germanenexkurses </w:t>
      </w:r>
      <w:r w:rsidR="00F203B8">
        <w:t xml:space="preserve">auch </w:t>
      </w:r>
      <w:r w:rsidR="005E7CC3">
        <w:t xml:space="preserve">immer wieder </w:t>
      </w:r>
      <w:r>
        <w:t>das eigene Ve</w:t>
      </w:r>
      <w:r>
        <w:t>r</w:t>
      </w:r>
      <w:r>
        <w:t xml:space="preserve">halten </w:t>
      </w:r>
      <w:r w:rsidR="005E7CC3">
        <w:t>in Betracht ziehen</w:t>
      </w:r>
      <w:r>
        <w:t>.</w:t>
      </w:r>
      <w:r w:rsidR="005E7CC3">
        <w:t xml:space="preserve"> </w:t>
      </w:r>
      <w:r w:rsidR="007B7967">
        <w:t xml:space="preserve">Wenn sich somit an das Verstehen eine </w:t>
      </w:r>
      <w:r w:rsidR="005E7CC3">
        <w:t>Auseinandersetzun</w:t>
      </w:r>
      <w:r w:rsidR="007B7967">
        <w:t>g</w:t>
      </w:r>
      <w:r w:rsidR="005E7CC3">
        <w:t xml:space="preserve"> mit dem Text und seinem Autor</w:t>
      </w:r>
      <w:r w:rsidR="007B7967">
        <w:t xml:space="preserve"> anschließt</w:t>
      </w:r>
      <w:r w:rsidR="005E7CC3">
        <w:t xml:space="preserve">, </w:t>
      </w:r>
      <w:r w:rsidR="007B7967">
        <w:t xml:space="preserve">leistet Latein </w:t>
      </w:r>
      <w:r w:rsidR="005219D7">
        <w:t xml:space="preserve">auch </w:t>
      </w:r>
      <w:r w:rsidR="007B7967">
        <w:t xml:space="preserve">einen Beitrag zur Förderung </w:t>
      </w:r>
      <w:r w:rsidR="005E7CC3">
        <w:t>personale</w:t>
      </w:r>
      <w:r w:rsidR="007B7967">
        <w:t>r</w:t>
      </w:r>
      <w:r w:rsidR="005E7CC3">
        <w:t xml:space="preserve"> und soziale</w:t>
      </w:r>
      <w:r w:rsidR="007B7967">
        <w:t>r</w:t>
      </w:r>
      <w:r w:rsidR="005E7CC3">
        <w:t xml:space="preserve"> </w:t>
      </w:r>
      <w:r w:rsidR="007B7967">
        <w:t>Kompetenzen</w:t>
      </w:r>
      <w:r w:rsidR="005E7CC3">
        <w:t>.</w:t>
      </w:r>
      <w:r w:rsidR="00C554C7">
        <w:t xml:space="preserve"> </w:t>
      </w:r>
      <w:r w:rsidR="007B7967">
        <w:t>D</w:t>
      </w:r>
      <w:r w:rsidR="005219D7">
        <w:t>er Unterricht</w:t>
      </w:r>
      <w:r w:rsidR="007B7967">
        <w:t xml:space="preserve"> vermittelt dann</w:t>
      </w:r>
      <w:r w:rsidR="005219D7">
        <w:t>, wie im Bildungsplan elegant formuliert ist, „ein Verständnis für fremde Vorstellungswelten und Verhaltenswe</w:t>
      </w:r>
      <w:r w:rsidR="005219D7">
        <w:t>i</w:t>
      </w:r>
      <w:r w:rsidR="005219D7">
        <w:t>sen, erleichtert die Orientierung in der Gegenwart und leistet damit einen wesentlichen Beitrag zur kulturellen Kompetenz der Schülerinnen und Schüler“ (S. 160).</w:t>
      </w:r>
      <w:r w:rsidR="002F3564">
        <w:t xml:space="preserve"> Die Arbeitsb</w:t>
      </w:r>
      <w:r w:rsidR="002F3564">
        <w:t>e</w:t>
      </w:r>
      <w:r w:rsidR="002F3564">
        <w:t>reiche Texte und Antike Kultur sind deshalb in dieser Unterrichtseinheit nicht von einander geschieden.</w:t>
      </w:r>
    </w:p>
    <w:p w:rsidR="00DC6DE1" w:rsidRDefault="00DC6DE1" w:rsidP="00D9672F">
      <w:r>
        <w:t>Die nächste Doppelstunde, in der die Schüler die verbleibenden zwei Caesarkapitel übe</w:t>
      </w:r>
      <w:r>
        <w:t>r</w:t>
      </w:r>
      <w:r>
        <w:t>setzen, wird wieder vorentlastet. Da der Lexikongebrauch und die Übersetzungsmethode aber erst in der vorletzten Stunde besprochen wurden, beschränkt sich die Vorentlastung nun auf die Bedeutungserschließung durch Wortanalyse und findet in der Hausaufgabe statt.</w:t>
      </w:r>
    </w:p>
    <w:p w:rsidR="00E23810" w:rsidRDefault="00E23810" w:rsidP="00E23810">
      <w:pPr>
        <w:spacing w:before="240"/>
        <w:jc w:val="center"/>
        <w:rPr>
          <w:i/>
        </w:rPr>
      </w:pPr>
      <w:r>
        <w:rPr>
          <w:i/>
        </w:rPr>
        <w:t>5. Doppelstunde: Hilfendifferenziertes Übersetzen von Gall.6,23-24</w:t>
      </w:r>
    </w:p>
    <w:p w:rsidR="00403A39" w:rsidRDefault="00403A39" w:rsidP="00403A39">
      <w:pPr>
        <w:rPr>
          <w:i/>
          <w:color w:val="FF0000"/>
          <w:sz w:val="20"/>
        </w:rPr>
      </w:pPr>
      <w:r w:rsidRPr="00313B91">
        <w:rPr>
          <w:noProof/>
          <w:sz w:val="20"/>
          <w:lang w:val="de-DE"/>
        </w:rPr>
        <w:drawing>
          <wp:inline distT="0" distB="0" distL="0" distR="0">
            <wp:extent cx="104775" cy="104775"/>
            <wp:effectExtent l="19050" t="0" r="9525" b="0"/>
            <wp:docPr id="11"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Hilfendifferenzierte Übersetzungstexte Gall. 6,23-24</w:t>
      </w:r>
    </w:p>
    <w:p w:rsidR="00E23810" w:rsidRDefault="002B23B1" w:rsidP="00D9672F">
      <w:r>
        <w:t>Die zweite Übersetzungs-Doppelstunde entspricht didaktisch genau der ersten. Wieder arbeiten die Schüler in den Gruppen, die auf der Grundlage der Lernstandsdiagnose g</w:t>
      </w:r>
      <w:r>
        <w:t>e</w:t>
      </w:r>
      <w:r>
        <w:t xml:space="preserve">bildet wurden, und wieder enthalten die Arbeitsblätter Hilfen, die genau den evaluierten Schwächen entgegen wirken sollen. Addita </w:t>
      </w:r>
      <w:r w:rsidR="003C3310">
        <w:t xml:space="preserve">bieten erneut </w:t>
      </w:r>
      <w:r>
        <w:t xml:space="preserve">den schnelleren Gruppen die Möglichkeit, die Zeit bis zur </w:t>
      </w:r>
      <w:r w:rsidR="003C3310">
        <w:t xml:space="preserve">gemeinsamen </w:t>
      </w:r>
      <w:r>
        <w:t>Übersetzungskontrolle zu überbrücken.</w:t>
      </w:r>
    </w:p>
    <w:p w:rsidR="002B23B1" w:rsidRDefault="002B23B1" w:rsidP="002B23B1">
      <w:pPr>
        <w:spacing w:before="240"/>
        <w:jc w:val="center"/>
        <w:rPr>
          <w:i/>
        </w:rPr>
      </w:pPr>
      <w:r>
        <w:rPr>
          <w:i/>
        </w:rPr>
        <w:t xml:space="preserve">6. Doppelstunde: </w:t>
      </w:r>
      <w:r w:rsidR="009E756A">
        <w:rPr>
          <w:i/>
        </w:rPr>
        <w:t>Themen</w:t>
      </w:r>
      <w:r>
        <w:rPr>
          <w:i/>
        </w:rPr>
        <w:t xml:space="preserve">differenziertes </w:t>
      </w:r>
      <w:r w:rsidR="00740F6B">
        <w:rPr>
          <w:i/>
        </w:rPr>
        <w:t>Textverstehen</w:t>
      </w:r>
      <w:r>
        <w:rPr>
          <w:i/>
        </w:rPr>
        <w:t xml:space="preserve"> von Gall.6,23-24</w:t>
      </w:r>
    </w:p>
    <w:p w:rsidR="00922835" w:rsidRDefault="00922835" w:rsidP="00922835">
      <w:pPr>
        <w:rPr>
          <w:color w:val="FF0000"/>
          <w:sz w:val="20"/>
        </w:rPr>
      </w:pPr>
      <w:r w:rsidRPr="00313B91">
        <w:rPr>
          <w:noProof/>
          <w:sz w:val="20"/>
          <w:lang w:val="de-DE"/>
        </w:rPr>
        <w:drawing>
          <wp:inline distT="0" distB="0" distL="0" distR="0">
            <wp:extent cx="104775" cy="104775"/>
            <wp:effectExtent l="19050" t="0" r="9525" b="0"/>
            <wp:docPr id="15"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009E756A">
        <w:rPr>
          <w:color w:val="FF0000"/>
          <w:sz w:val="20"/>
        </w:rPr>
        <w:t>Themen</w:t>
      </w:r>
      <w:r>
        <w:rPr>
          <w:color w:val="FF0000"/>
          <w:sz w:val="20"/>
        </w:rPr>
        <w:t>differenziertes Textverstehen Gall. 6,23-24</w:t>
      </w:r>
    </w:p>
    <w:p w:rsidR="00922835" w:rsidRDefault="00922835" w:rsidP="00922835">
      <w:pPr>
        <w:spacing w:before="0"/>
        <w:rPr>
          <w:color w:val="FF0000"/>
          <w:sz w:val="20"/>
        </w:rPr>
      </w:pPr>
      <w:r w:rsidRPr="00313B91">
        <w:rPr>
          <w:noProof/>
          <w:sz w:val="20"/>
          <w:lang w:val="de-DE"/>
        </w:rPr>
        <w:drawing>
          <wp:inline distT="0" distB="0" distL="0" distR="0">
            <wp:extent cx="104775" cy="104775"/>
            <wp:effectExtent l="19050" t="0" r="9525" b="0"/>
            <wp:docPr id="16"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 xml:space="preserve">Tafelanschrieb zum </w:t>
      </w:r>
      <w:r w:rsidR="001A03B4">
        <w:rPr>
          <w:color w:val="FF0000"/>
          <w:sz w:val="20"/>
        </w:rPr>
        <w:t>themen</w:t>
      </w:r>
      <w:r>
        <w:rPr>
          <w:color w:val="FF0000"/>
          <w:sz w:val="20"/>
        </w:rPr>
        <w:t xml:space="preserve">differenzierten Textverstehen </w:t>
      </w:r>
      <w:r w:rsidR="007E0939">
        <w:rPr>
          <w:color w:val="FF0000"/>
          <w:sz w:val="20"/>
        </w:rPr>
        <w:t xml:space="preserve">Gall. </w:t>
      </w:r>
      <w:r>
        <w:rPr>
          <w:color w:val="FF0000"/>
          <w:sz w:val="20"/>
        </w:rPr>
        <w:t>6,23-24</w:t>
      </w:r>
    </w:p>
    <w:p w:rsidR="002B23B1" w:rsidRDefault="00A004C8" w:rsidP="002B23B1">
      <w:r>
        <w:t xml:space="preserve">Auch die </w:t>
      </w:r>
      <w:r w:rsidR="002B23B1">
        <w:t xml:space="preserve">zweite Doppelstunde </w:t>
      </w:r>
      <w:r w:rsidR="00134E86">
        <w:t xml:space="preserve">zum Textverstehen </w:t>
      </w:r>
      <w:r>
        <w:t xml:space="preserve">knüpft an die vorausgehende </w:t>
      </w:r>
      <w:r w:rsidR="00134E86">
        <w:t xml:space="preserve">Analyse- und </w:t>
      </w:r>
      <w:r>
        <w:t>Interpretationsarbeit an</w:t>
      </w:r>
      <w:r w:rsidR="002B23B1">
        <w:t xml:space="preserve">. </w:t>
      </w:r>
      <w:r w:rsidR="008A2ACD">
        <w:t>Die Schüler haben nun die Wahl zwischen den Themen Ö</w:t>
      </w:r>
      <w:r w:rsidR="008A2ACD">
        <w:t>d</w:t>
      </w:r>
      <w:r w:rsidR="008A2ACD">
        <w:t xml:space="preserve">landzonen, Stammesoberhaupt, Raubzüge und Gastfreundschaft </w:t>
      </w:r>
      <w:r w:rsidR="002D004B">
        <w:t xml:space="preserve">einerseits </w:t>
      </w:r>
      <w:r w:rsidR="00576062">
        <w:t>(Kapitel 23) und</w:t>
      </w:r>
      <w:r w:rsidR="008A2ACD">
        <w:t xml:space="preserve"> dem </w:t>
      </w:r>
      <w:r w:rsidR="00160843">
        <w:t>Ka</w:t>
      </w:r>
      <w:r w:rsidR="002D004B">
        <w:t xml:space="preserve">pitel zu den tektosagischen Volkern andererseits (Kapitel 24). </w:t>
      </w:r>
      <w:r>
        <w:t>Die Ergebniss</w:t>
      </w:r>
      <w:r>
        <w:t>i</w:t>
      </w:r>
      <w:r>
        <w:t>cherung erfolgt wieder mittels eines vom Lehrer vorstrukturierten Tafelanschriebs.</w:t>
      </w:r>
    </w:p>
    <w:p w:rsidR="00B94154" w:rsidRDefault="00B94154" w:rsidP="00B94154">
      <w:pPr>
        <w:spacing w:before="240"/>
        <w:jc w:val="center"/>
        <w:rPr>
          <w:i/>
        </w:rPr>
      </w:pPr>
      <w:r>
        <w:rPr>
          <w:i/>
        </w:rPr>
        <w:t xml:space="preserve">7. Doppelstunde: </w:t>
      </w:r>
      <w:r w:rsidRPr="00DB6D75">
        <w:rPr>
          <w:i/>
        </w:rPr>
        <w:t>Lernstandsdiagnose</w:t>
      </w:r>
      <w:r>
        <w:rPr>
          <w:i/>
        </w:rPr>
        <w:t xml:space="preserve"> am Ende der Unterrichtseinheit</w:t>
      </w:r>
    </w:p>
    <w:p w:rsidR="00B94154" w:rsidRDefault="00B94154" w:rsidP="00B94154">
      <w:pPr>
        <w:rPr>
          <w:color w:val="FF0000"/>
          <w:sz w:val="20"/>
        </w:rPr>
      </w:pPr>
      <w:r w:rsidRPr="00313B91">
        <w:rPr>
          <w:noProof/>
          <w:sz w:val="20"/>
          <w:lang w:val="de-DE"/>
        </w:rPr>
        <w:drawing>
          <wp:inline distT="0" distB="0" distL="0" distR="0">
            <wp:extent cx="104775" cy="104775"/>
            <wp:effectExtent l="19050" t="0" r="9525" b="0"/>
            <wp:docPr id="18"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sidRPr="00313B91">
        <w:rPr>
          <w:color w:val="FF0000"/>
          <w:sz w:val="20"/>
        </w:rPr>
        <w:t xml:space="preserve">Lernstandsdiagnose </w:t>
      </w:r>
      <w:r>
        <w:rPr>
          <w:color w:val="FF0000"/>
          <w:sz w:val="20"/>
        </w:rPr>
        <w:t>(Tests</w:t>
      </w:r>
      <w:r w:rsidR="00D66045">
        <w:rPr>
          <w:color w:val="FF0000"/>
          <w:sz w:val="20"/>
        </w:rPr>
        <w:t xml:space="preserve"> auf Arbeitsblättern</w:t>
      </w:r>
      <w:r>
        <w:rPr>
          <w:color w:val="FF0000"/>
          <w:sz w:val="20"/>
        </w:rPr>
        <w:t xml:space="preserve">) </w:t>
      </w:r>
      <w:r w:rsidRPr="00313B91">
        <w:rPr>
          <w:color w:val="FF0000"/>
          <w:sz w:val="20"/>
        </w:rPr>
        <w:t xml:space="preserve">am </w:t>
      </w:r>
      <w:r>
        <w:rPr>
          <w:color w:val="FF0000"/>
          <w:sz w:val="20"/>
        </w:rPr>
        <w:t>Ende</w:t>
      </w:r>
      <w:r w:rsidRPr="00313B91">
        <w:rPr>
          <w:color w:val="FF0000"/>
          <w:sz w:val="20"/>
        </w:rPr>
        <w:t xml:space="preserve"> der </w:t>
      </w:r>
      <w:r w:rsidRPr="00626530">
        <w:rPr>
          <w:color w:val="FF0000"/>
          <w:sz w:val="20"/>
        </w:rPr>
        <w:t>UE</w:t>
      </w:r>
    </w:p>
    <w:p w:rsidR="009E77AA" w:rsidRPr="00626530" w:rsidRDefault="009E77AA" w:rsidP="009E77AA">
      <w:pPr>
        <w:spacing w:before="0"/>
        <w:rPr>
          <w:color w:val="FF0000"/>
          <w:sz w:val="20"/>
        </w:rPr>
      </w:pPr>
      <w:r w:rsidRPr="009E77AA">
        <w:rPr>
          <w:noProof/>
          <w:color w:val="FF0000"/>
          <w:sz w:val="20"/>
          <w:lang w:val="de-DE"/>
        </w:rPr>
        <w:drawing>
          <wp:inline distT="0" distB="0" distL="0" distR="0">
            <wp:extent cx="104775" cy="104775"/>
            <wp:effectExtent l="19050" t="0" r="9525" b="0"/>
            <wp:docPr id="14"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Pr>
          <w:color w:val="FF0000"/>
          <w:sz w:val="20"/>
        </w:rPr>
        <w:t xml:space="preserve"> Lernstandsdiagnose (Moodletests) am Ende der UE (alternativ zu den Arbeitsblättern)</w:t>
      </w:r>
    </w:p>
    <w:p w:rsidR="00A004C8" w:rsidRDefault="00B94154" w:rsidP="00B94154">
      <w:r>
        <w:t xml:space="preserve">Den Abschluss der Unterichtseinheit bildet eine </w:t>
      </w:r>
      <w:r w:rsidR="00C120C5">
        <w:t xml:space="preserve">zweite </w:t>
      </w:r>
      <w:r>
        <w:t>Lern</w:t>
      </w:r>
      <w:r w:rsidR="00B13B0C">
        <w:t>standsdiagnose.</w:t>
      </w:r>
      <w:r>
        <w:t xml:space="preserve"> </w:t>
      </w:r>
      <w:r w:rsidR="002D2FB5">
        <w:t>Im Wor</w:t>
      </w:r>
      <w:r w:rsidR="002D2FB5">
        <w:t>t</w:t>
      </w:r>
      <w:r w:rsidR="002D2FB5">
        <w:t xml:space="preserve">schatztest wird die Kenntnis der Prä- und Suffixe sowie der bis dahin gelernten adeo-Wörter überprüft. Dem Test zur Satzlehre und Formenlehre liegen die Sätze und Wörter des Germanenexkurses zugrunde. </w:t>
      </w:r>
      <w:r w:rsidR="00B13B0C">
        <w:t xml:space="preserve">Und </w:t>
      </w:r>
      <w:r w:rsidR="008715D2">
        <w:t xml:space="preserve">der Test zu </w:t>
      </w:r>
      <w:r w:rsidR="00C77C42">
        <w:t xml:space="preserve">den Arbeitsbereichen </w:t>
      </w:r>
      <w:r w:rsidR="008715D2">
        <w:t>Texte /</w:t>
      </w:r>
      <w:r w:rsidR="002D2FB5">
        <w:t xml:space="preserve"> Antike Kultur </w:t>
      </w:r>
      <w:r w:rsidR="00B13B0C">
        <w:t xml:space="preserve">bezieht sich </w:t>
      </w:r>
      <w:r w:rsidR="002D2FB5">
        <w:t>auf die Ergebnisse der Doppelstunden</w:t>
      </w:r>
      <w:r w:rsidR="000F1196">
        <w:t xml:space="preserve"> zum Textverstehen</w:t>
      </w:r>
      <w:r w:rsidR="00B13B0C">
        <w:t>. Der G</w:t>
      </w:r>
      <w:r w:rsidR="00B13B0C">
        <w:t>e</w:t>
      </w:r>
      <w:r w:rsidR="00B13B0C">
        <w:t xml:space="preserve">genstand dieser Abschlusstests (Germanenexkurs und ein Teil des adeo-Wortschatzes) ist </w:t>
      </w:r>
      <w:r w:rsidR="007F22B8">
        <w:t xml:space="preserve">somit </w:t>
      </w:r>
      <w:r w:rsidR="00B13B0C">
        <w:t xml:space="preserve">deutlich geringer als der </w:t>
      </w:r>
      <w:r>
        <w:t xml:space="preserve">Gegenstand der Eingangstests (das Lehrwerk prima B), </w:t>
      </w:r>
      <w:r w:rsidR="00B13B0C">
        <w:t xml:space="preserve">doch diese ungleichen Tests </w:t>
      </w:r>
      <w:r>
        <w:t xml:space="preserve">erfüllen </w:t>
      </w:r>
      <w:r w:rsidR="00B13B0C">
        <w:t xml:space="preserve">wichtige </w:t>
      </w:r>
      <w:r>
        <w:t>Funktionen</w:t>
      </w:r>
      <w:r w:rsidR="00B13B0C">
        <w:t xml:space="preserve"> des kompetenzorientierten U</w:t>
      </w:r>
      <w:r w:rsidR="00B13B0C">
        <w:t>n</w:t>
      </w:r>
      <w:r w:rsidR="00B13B0C">
        <w:t>terrichts</w:t>
      </w:r>
      <w:r>
        <w:t>: Jeder Schüler kann seine Lernentwicklung in den einzelnen Arbeitsbereichen des Bildungsplans abschätzen, der Lehrer kann die Qualität der gehaltenen Unterrichtseinheit sehr differenziert beurteilen und er kann den Schülern in der nächsten Unterrichtseinheit Hilfen anbieten, die exakt ihrem derzeitigen individuellen Lernstand entsprechen.</w:t>
      </w:r>
    </w:p>
    <w:p w:rsidR="005F696E" w:rsidRPr="005F696E" w:rsidRDefault="005F696E" w:rsidP="00B94154">
      <w:pPr>
        <w:rPr>
          <w:color w:val="FF0000"/>
          <w:sz w:val="20"/>
        </w:rPr>
      </w:pPr>
      <w:r w:rsidRPr="00313B91">
        <w:rPr>
          <w:noProof/>
          <w:sz w:val="20"/>
          <w:lang w:val="de-DE"/>
        </w:rPr>
        <w:drawing>
          <wp:inline distT="0" distB="0" distL="0" distR="0">
            <wp:extent cx="104775" cy="104775"/>
            <wp:effectExtent l="19050" t="0" r="9525" b="0"/>
            <wp:docPr id="10" name="Grafik 0" descr="wei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ter.gif"/>
                    <pic:cNvPicPr/>
                  </pic:nvPicPr>
                  <pic:blipFill>
                    <a:blip r:embed="rId7" cstate="print"/>
                    <a:stretch>
                      <a:fillRect/>
                    </a:stretch>
                  </pic:blipFill>
                  <pic:spPr>
                    <a:xfrm>
                      <a:off x="0" y="0"/>
                      <a:ext cx="104775" cy="104775"/>
                    </a:xfrm>
                    <a:prstGeom prst="rect">
                      <a:avLst/>
                    </a:prstGeom>
                  </pic:spPr>
                </pic:pic>
              </a:graphicData>
            </a:graphic>
          </wp:inline>
        </w:drawing>
      </w:r>
      <w:r w:rsidRPr="00313B91">
        <w:rPr>
          <w:sz w:val="20"/>
        </w:rPr>
        <w:t xml:space="preserve"> </w:t>
      </w:r>
      <w:r>
        <w:rPr>
          <w:color w:val="FF0000"/>
          <w:sz w:val="20"/>
        </w:rPr>
        <w:t>Literatur</w:t>
      </w:r>
    </w:p>
    <w:sectPr w:rsidR="005F696E" w:rsidRPr="005F696E" w:rsidSect="00D9672F">
      <w:headerReference w:type="default" r:id="rId8"/>
      <w:pgSz w:w="11906" w:h="16838" w:code="9"/>
      <w:pgMar w:top="1134" w:right="1134" w:bottom="567"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142" w:rsidRDefault="002A3142" w:rsidP="00A86BE7">
      <w:r>
        <w:separator/>
      </w:r>
    </w:p>
  </w:endnote>
  <w:endnote w:type="continuationSeparator" w:id="0">
    <w:p w:rsidR="002A3142" w:rsidRDefault="002A3142" w:rsidP="00A86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142" w:rsidRDefault="002A3142" w:rsidP="00A86BE7">
      <w:r>
        <w:separator/>
      </w:r>
    </w:p>
  </w:footnote>
  <w:footnote w:type="continuationSeparator" w:id="0">
    <w:p w:rsidR="002A3142" w:rsidRDefault="002A3142" w:rsidP="00A86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72F" w:rsidRPr="00D9672F" w:rsidRDefault="00B94451" w:rsidP="00D9672F">
    <w:pPr>
      <w:pStyle w:val="Kopfzeile"/>
      <w:tabs>
        <w:tab w:val="clear" w:pos="4820"/>
        <w:tab w:val="right" w:pos="9639"/>
      </w:tabs>
      <w:rPr>
        <w:sz w:val="20"/>
      </w:rPr>
    </w:pPr>
    <w:r>
      <w:rPr>
        <w:sz w:val="20"/>
      </w:rPr>
      <w:t>Einführung</w:t>
    </w:r>
    <w:r w:rsidR="00D9672F" w:rsidRPr="00D9672F">
      <w:rPr>
        <w:sz w:val="20"/>
      </w:rPr>
      <w:tab/>
      <w:t>Caesars Germanenexkurs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pStyle w:val="berschrift1"/>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F6F44D5"/>
    <w:multiLevelType w:val="hybridMultilevel"/>
    <w:tmpl w:val="1AEC5128"/>
    <w:lvl w:ilvl="0" w:tplc="03D0A326">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nsid w:val="14C15751"/>
    <w:multiLevelType w:val="hybridMultilevel"/>
    <w:tmpl w:val="4D52DA7E"/>
    <w:lvl w:ilvl="0" w:tplc="62BAF306">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2F00D8A"/>
    <w:multiLevelType w:val="hybridMultilevel"/>
    <w:tmpl w:val="4A4801E4"/>
    <w:lvl w:ilvl="0" w:tplc="A4782E4E">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5">
    <w:nsid w:val="2BAD3BFD"/>
    <w:multiLevelType w:val="hybridMultilevel"/>
    <w:tmpl w:val="D1E0243A"/>
    <w:lvl w:ilvl="0" w:tplc="B0AA0A40">
      <w:start w:val="1"/>
      <w:numFmt w:val="bullet"/>
      <w:pStyle w:val="05H050"/>
      <w:lvlText w:val=""/>
      <w:lvlJc w:val="left"/>
      <w:pPr>
        <w:tabs>
          <w:tab w:val="num" w:pos="644"/>
        </w:tabs>
        <w:ind w:left="568"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6511D5D"/>
    <w:multiLevelType w:val="hybridMultilevel"/>
    <w:tmpl w:val="796218A6"/>
    <w:lvl w:ilvl="0" w:tplc="03121074">
      <w:start w:val="1"/>
      <w:numFmt w:val="bullet"/>
      <w:pStyle w:val="05H05-"/>
      <w:lvlText w:val="–"/>
      <w:lvlJc w:val="left"/>
      <w:pPr>
        <w:tabs>
          <w:tab w:val="num" w:pos="568"/>
        </w:tabs>
        <w:ind w:left="568" w:hanging="284"/>
      </w:pPr>
      <w:rPr>
        <w:rFonts w:ascii="Arial" w:hAnsi="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num w:numId="1">
    <w:abstractNumId w:val="4"/>
  </w:num>
  <w:num w:numId="2">
    <w:abstractNumId w:val="2"/>
  </w:num>
  <w:num w:numId="3">
    <w:abstractNumId w:val="6"/>
  </w:num>
  <w:num w:numId="4">
    <w:abstractNumId w:val="1"/>
  </w:num>
  <w:num w:numId="5">
    <w:abstractNumId w:val="5"/>
  </w:num>
  <w:num w:numId="6">
    <w:abstractNumId w:val="7"/>
  </w:num>
  <w:num w:numId="7">
    <w:abstractNumId w:val="3"/>
  </w:num>
  <w:num w:numId="8">
    <w:abstractNumId w:val="8"/>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09"/>
  <w:autoHyphenation/>
  <w:hyphenationZone w:val="425"/>
  <w:drawingGridHorizontalSpacing w:val="57"/>
  <w:drawingGridVerticalSpacing w:val="57"/>
  <w:noPunctuationKerning/>
  <w:characterSpacingControl w:val="doNotCompress"/>
  <w:savePreviewPicture/>
  <w:hdrShapeDefaults>
    <o:shapedefaults v:ext="edit" spidmax="73730"/>
  </w:hdrShapeDefaults>
  <w:footnotePr>
    <w:footnote w:id="-1"/>
    <w:footnote w:id="0"/>
  </w:footnotePr>
  <w:endnotePr>
    <w:endnote w:id="-1"/>
    <w:endnote w:id="0"/>
  </w:endnotePr>
  <w:compat/>
  <w:rsids>
    <w:rsidRoot w:val="007A15B3"/>
    <w:rsid w:val="00001419"/>
    <w:rsid w:val="00010D29"/>
    <w:rsid w:val="00025CFB"/>
    <w:rsid w:val="00046D8D"/>
    <w:rsid w:val="00062227"/>
    <w:rsid w:val="000753BB"/>
    <w:rsid w:val="000836C7"/>
    <w:rsid w:val="000946FE"/>
    <w:rsid w:val="000B386D"/>
    <w:rsid w:val="000B525C"/>
    <w:rsid w:val="000D4160"/>
    <w:rsid w:val="000D465C"/>
    <w:rsid w:val="000F1196"/>
    <w:rsid w:val="000F1D55"/>
    <w:rsid w:val="0012372E"/>
    <w:rsid w:val="001240B9"/>
    <w:rsid w:val="001279B9"/>
    <w:rsid w:val="00134E86"/>
    <w:rsid w:val="00136D02"/>
    <w:rsid w:val="0015627E"/>
    <w:rsid w:val="00156847"/>
    <w:rsid w:val="00160843"/>
    <w:rsid w:val="00161611"/>
    <w:rsid w:val="0016223C"/>
    <w:rsid w:val="001705C6"/>
    <w:rsid w:val="001807F5"/>
    <w:rsid w:val="00180AED"/>
    <w:rsid w:val="001810F4"/>
    <w:rsid w:val="00183C8D"/>
    <w:rsid w:val="00195D1D"/>
    <w:rsid w:val="001A03B4"/>
    <w:rsid w:val="001A39D4"/>
    <w:rsid w:val="001B0009"/>
    <w:rsid w:val="001B15FA"/>
    <w:rsid w:val="001B7133"/>
    <w:rsid w:val="001E1A17"/>
    <w:rsid w:val="001F174A"/>
    <w:rsid w:val="00224575"/>
    <w:rsid w:val="0023509D"/>
    <w:rsid w:val="002513A5"/>
    <w:rsid w:val="00253328"/>
    <w:rsid w:val="0025446B"/>
    <w:rsid w:val="002702F4"/>
    <w:rsid w:val="002735E2"/>
    <w:rsid w:val="002773AA"/>
    <w:rsid w:val="00282B73"/>
    <w:rsid w:val="00285916"/>
    <w:rsid w:val="002A0205"/>
    <w:rsid w:val="002A17BD"/>
    <w:rsid w:val="002A3142"/>
    <w:rsid w:val="002B23B1"/>
    <w:rsid w:val="002B61E1"/>
    <w:rsid w:val="002C0D70"/>
    <w:rsid w:val="002C1F0F"/>
    <w:rsid w:val="002C32ED"/>
    <w:rsid w:val="002C7DF9"/>
    <w:rsid w:val="002D004B"/>
    <w:rsid w:val="002D069E"/>
    <w:rsid w:val="002D2FB5"/>
    <w:rsid w:val="002D6F3A"/>
    <w:rsid w:val="002E50D9"/>
    <w:rsid w:val="002F329A"/>
    <w:rsid w:val="002F3564"/>
    <w:rsid w:val="002F3DAC"/>
    <w:rsid w:val="002F60B4"/>
    <w:rsid w:val="00311FA6"/>
    <w:rsid w:val="00312FCD"/>
    <w:rsid w:val="00313B91"/>
    <w:rsid w:val="00321F1A"/>
    <w:rsid w:val="003262C5"/>
    <w:rsid w:val="0033391A"/>
    <w:rsid w:val="00342327"/>
    <w:rsid w:val="00343BC0"/>
    <w:rsid w:val="00344BBE"/>
    <w:rsid w:val="00357139"/>
    <w:rsid w:val="00370162"/>
    <w:rsid w:val="00371D76"/>
    <w:rsid w:val="0039096E"/>
    <w:rsid w:val="00396FC8"/>
    <w:rsid w:val="003B735B"/>
    <w:rsid w:val="003C22C5"/>
    <w:rsid w:val="003C3310"/>
    <w:rsid w:val="003C731B"/>
    <w:rsid w:val="003E7753"/>
    <w:rsid w:val="004027D2"/>
    <w:rsid w:val="00403A39"/>
    <w:rsid w:val="00405053"/>
    <w:rsid w:val="004109C3"/>
    <w:rsid w:val="00410AE7"/>
    <w:rsid w:val="00421EB7"/>
    <w:rsid w:val="00422B17"/>
    <w:rsid w:val="004377E6"/>
    <w:rsid w:val="004407C9"/>
    <w:rsid w:val="00444ACB"/>
    <w:rsid w:val="0045470A"/>
    <w:rsid w:val="00471370"/>
    <w:rsid w:val="004744CE"/>
    <w:rsid w:val="00480D75"/>
    <w:rsid w:val="004B7E9F"/>
    <w:rsid w:val="004C2028"/>
    <w:rsid w:val="004C2415"/>
    <w:rsid w:val="004C461B"/>
    <w:rsid w:val="004E3BEB"/>
    <w:rsid w:val="004E4EA5"/>
    <w:rsid w:val="004F1A58"/>
    <w:rsid w:val="004F6BF2"/>
    <w:rsid w:val="00504616"/>
    <w:rsid w:val="005219D7"/>
    <w:rsid w:val="00531DEE"/>
    <w:rsid w:val="00546153"/>
    <w:rsid w:val="00546B15"/>
    <w:rsid w:val="00576062"/>
    <w:rsid w:val="005764B8"/>
    <w:rsid w:val="0058770B"/>
    <w:rsid w:val="0059053B"/>
    <w:rsid w:val="00594476"/>
    <w:rsid w:val="0059582A"/>
    <w:rsid w:val="005A5B7A"/>
    <w:rsid w:val="005A62F4"/>
    <w:rsid w:val="005A6FA9"/>
    <w:rsid w:val="005B79B5"/>
    <w:rsid w:val="005C7D3C"/>
    <w:rsid w:val="005D49F9"/>
    <w:rsid w:val="005E17AA"/>
    <w:rsid w:val="005E7CC3"/>
    <w:rsid w:val="005F696E"/>
    <w:rsid w:val="00621BFD"/>
    <w:rsid w:val="00624B6B"/>
    <w:rsid w:val="00625030"/>
    <w:rsid w:val="00626530"/>
    <w:rsid w:val="00643D4F"/>
    <w:rsid w:val="006624FC"/>
    <w:rsid w:val="00664C29"/>
    <w:rsid w:val="00671F12"/>
    <w:rsid w:val="00681D36"/>
    <w:rsid w:val="006821B1"/>
    <w:rsid w:val="00687313"/>
    <w:rsid w:val="006914F1"/>
    <w:rsid w:val="006C180D"/>
    <w:rsid w:val="006E2FD4"/>
    <w:rsid w:val="006E4634"/>
    <w:rsid w:val="006F0482"/>
    <w:rsid w:val="006F5742"/>
    <w:rsid w:val="00711C07"/>
    <w:rsid w:val="00714E75"/>
    <w:rsid w:val="00720906"/>
    <w:rsid w:val="00723B6A"/>
    <w:rsid w:val="00725E56"/>
    <w:rsid w:val="007341B7"/>
    <w:rsid w:val="00740F6B"/>
    <w:rsid w:val="00743ABC"/>
    <w:rsid w:val="007457B0"/>
    <w:rsid w:val="00747FC5"/>
    <w:rsid w:val="0078545D"/>
    <w:rsid w:val="00790316"/>
    <w:rsid w:val="007A15B3"/>
    <w:rsid w:val="007A3C52"/>
    <w:rsid w:val="007B7967"/>
    <w:rsid w:val="007C58BA"/>
    <w:rsid w:val="007D2CEE"/>
    <w:rsid w:val="007E0650"/>
    <w:rsid w:val="007E0939"/>
    <w:rsid w:val="007E097C"/>
    <w:rsid w:val="007F22B8"/>
    <w:rsid w:val="007F603B"/>
    <w:rsid w:val="0080107B"/>
    <w:rsid w:val="00801184"/>
    <w:rsid w:val="008024BA"/>
    <w:rsid w:val="00804D8F"/>
    <w:rsid w:val="00810B58"/>
    <w:rsid w:val="00844C9F"/>
    <w:rsid w:val="0085160C"/>
    <w:rsid w:val="0085650F"/>
    <w:rsid w:val="00860FB7"/>
    <w:rsid w:val="008701BC"/>
    <w:rsid w:val="008715D2"/>
    <w:rsid w:val="00881133"/>
    <w:rsid w:val="00884B62"/>
    <w:rsid w:val="008A144D"/>
    <w:rsid w:val="008A2ACD"/>
    <w:rsid w:val="008C521C"/>
    <w:rsid w:val="008C5520"/>
    <w:rsid w:val="008C7F91"/>
    <w:rsid w:val="008E5113"/>
    <w:rsid w:val="008E5A40"/>
    <w:rsid w:val="008F6869"/>
    <w:rsid w:val="00903AD8"/>
    <w:rsid w:val="00903E08"/>
    <w:rsid w:val="00921F86"/>
    <w:rsid w:val="00922835"/>
    <w:rsid w:val="00927541"/>
    <w:rsid w:val="00943084"/>
    <w:rsid w:val="00956C79"/>
    <w:rsid w:val="00962696"/>
    <w:rsid w:val="00986A1F"/>
    <w:rsid w:val="0099231C"/>
    <w:rsid w:val="009A5037"/>
    <w:rsid w:val="009C7605"/>
    <w:rsid w:val="009D4F0E"/>
    <w:rsid w:val="009E60E3"/>
    <w:rsid w:val="009E756A"/>
    <w:rsid w:val="009E77AA"/>
    <w:rsid w:val="009F4D87"/>
    <w:rsid w:val="009F5AF0"/>
    <w:rsid w:val="00A004C8"/>
    <w:rsid w:val="00A004D8"/>
    <w:rsid w:val="00A14D87"/>
    <w:rsid w:val="00A17A2A"/>
    <w:rsid w:val="00A433A4"/>
    <w:rsid w:val="00A44917"/>
    <w:rsid w:val="00A50DED"/>
    <w:rsid w:val="00A860EA"/>
    <w:rsid w:val="00A86BE7"/>
    <w:rsid w:val="00A9750A"/>
    <w:rsid w:val="00AA1825"/>
    <w:rsid w:val="00AA2FED"/>
    <w:rsid w:val="00AA5D7C"/>
    <w:rsid w:val="00AB2F08"/>
    <w:rsid w:val="00AC2673"/>
    <w:rsid w:val="00AC3C6B"/>
    <w:rsid w:val="00AF0257"/>
    <w:rsid w:val="00B13B0C"/>
    <w:rsid w:val="00B201CB"/>
    <w:rsid w:val="00B24610"/>
    <w:rsid w:val="00B3364F"/>
    <w:rsid w:val="00B44181"/>
    <w:rsid w:val="00B562F0"/>
    <w:rsid w:val="00B63F51"/>
    <w:rsid w:val="00B64C80"/>
    <w:rsid w:val="00B73872"/>
    <w:rsid w:val="00B746BC"/>
    <w:rsid w:val="00B92B62"/>
    <w:rsid w:val="00B94154"/>
    <w:rsid w:val="00B94451"/>
    <w:rsid w:val="00BA1757"/>
    <w:rsid w:val="00BB6A14"/>
    <w:rsid w:val="00BC0EF9"/>
    <w:rsid w:val="00BC3F8A"/>
    <w:rsid w:val="00BC4DD2"/>
    <w:rsid w:val="00BC5425"/>
    <w:rsid w:val="00BE0E7E"/>
    <w:rsid w:val="00BF118B"/>
    <w:rsid w:val="00BF38E9"/>
    <w:rsid w:val="00C120C5"/>
    <w:rsid w:val="00C35E67"/>
    <w:rsid w:val="00C554C7"/>
    <w:rsid w:val="00C5700B"/>
    <w:rsid w:val="00C61025"/>
    <w:rsid w:val="00C77C42"/>
    <w:rsid w:val="00CC2139"/>
    <w:rsid w:val="00CD3310"/>
    <w:rsid w:val="00CE1636"/>
    <w:rsid w:val="00CE32BF"/>
    <w:rsid w:val="00CF2FCB"/>
    <w:rsid w:val="00CF303F"/>
    <w:rsid w:val="00D036FB"/>
    <w:rsid w:val="00D151D3"/>
    <w:rsid w:val="00D165D8"/>
    <w:rsid w:val="00D20DD4"/>
    <w:rsid w:val="00D30486"/>
    <w:rsid w:val="00D4778E"/>
    <w:rsid w:val="00D47B19"/>
    <w:rsid w:val="00D57FB6"/>
    <w:rsid w:val="00D66045"/>
    <w:rsid w:val="00D70822"/>
    <w:rsid w:val="00D9278D"/>
    <w:rsid w:val="00D9672F"/>
    <w:rsid w:val="00DB6D75"/>
    <w:rsid w:val="00DB7633"/>
    <w:rsid w:val="00DC0B37"/>
    <w:rsid w:val="00DC2C87"/>
    <w:rsid w:val="00DC3BC7"/>
    <w:rsid w:val="00DC5FDA"/>
    <w:rsid w:val="00DC6875"/>
    <w:rsid w:val="00DC6DE1"/>
    <w:rsid w:val="00DE0657"/>
    <w:rsid w:val="00DF4459"/>
    <w:rsid w:val="00E209E0"/>
    <w:rsid w:val="00E23810"/>
    <w:rsid w:val="00E64E50"/>
    <w:rsid w:val="00E73F2F"/>
    <w:rsid w:val="00E95DE2"/>
    <w:rsid w:val="00EA5489"/>
    <w:rsid w:val="00EB4FAB"/>
    <w:rsid w:val="00EC5582"/>
    <w:rsid w:val="00ED20F9"/>
    <w:rsid w:val="00ED2B3C"/>
    <w:rsid w:val="00ED2D03"/>
    <w:rsid w:val="00EF4256"/>
    <w:rsid w:val="00EF46D4"/>
    <w:rsid w:val="00F109F4"/>
    <w:rsid w:val="00F203B8"/>
    <w:rsid w:val="00F32207"/>
    <w:rsid w:val="00F51BAB"/>
    <w:rsid w:val="00F54A03"/>
    <w:rsid w:val="00F746BF"/>
    <w:rsid w:val="00F77B79"/>
    <w:rsid w:val="00F809A1"/>
    <w:rsid w:val="00FA5F34"/>
    <w:rsid w:val="00FD30B3"/>
    <w:rsid w:val="00FE5BD3"/>
    <w:rsid w:val="00FF51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C4DD2"/>
    <w:pPr>
      <w:spacing w:before="120"/>
    </w:pPr>
    <w:rPr>
      <w:rFonts w:ascii="Arial" w:hAnsi="Arial"/>
      <w:sz w:val="24"/>
      <w:lang w:val="de-AT"/>
    </w:rPr>
  </w:style>
  <w:style w:type="paragraph" w:styleId="berschrift1">
    <w:name w:val="heading 1"/>
    <w:basedOn w:val="Standard"/>
    <w:next w:val="Standard"/>
    <w:link w:val="berschrift1Zchn"/>
    <w:rsid w:val="00DC2C87"/>
    <w:pPr>
      <w:numPr>
        <w:numId w:val="17"/>
      </w:numPr>
      <w:tabs>
        <w:tab w:val="center" w:pos="4820"/>
      </w:tabs>
      <w:spacing w:after="60"/>
      <w:outlineLvl w:val="0"/>
    </w:pPr>
    <w:rPr>
      <w:b/>
      <w:kern w:val="28"/>
      <w:sz w:val="32"/>
    </w:rPr>
  </w:style>
  <w:style w:type="paragraph" w:styleId="berschrift2">
    <w:name w:val="heading 2"/>
    <w:basedOn w:val="Standard"/>
    <w:next w:val="Standard"/>
    <w:link w:val="berschrift2Zchn"/>
    <w:rsid w:val="00DC2C87"/>
    <w:pPr>
      <w:keepNext/>
      <w:numPr>
        <w:ilvl w:val="1"/>
        <w:numId w:val="17"/>
      </w:numPr>
      <w:tabs>
        <w:tab w:val="center" w:pos="4820"/>
      </w:tabs>
      <w:spacing w:before="480"/>
      <w:outlineLvl w:val="1"/>
    </w:pPr>
    <w:rPr>
      <w:b/>
      <w:sz w:val="28"/>
    </w:rPr>
  </w:style>
  <w:style w:type="paragraph" w:styleId="berschrift3">
    <w:name w:val="heading 3"/>
    <w:basedOn w:val="Standard"/>
    <w:next w:val="Standard"/>
    <w:link w:val="berschrift3Zchn"/>
    <w:rsid w:val="00DC2C87"/>
    <w:pPr>
      <w:keepNext/>
      <w:numPr>
        <w:ilvl w:val="2"/>
        <w:numId w:val="17"/>
      </w:numPr>
      <w:spacing w:before="400"/>
      <w:outlineLvl w:val="2"/>
    </w:pPr>
    <w:rPr>
      <w:b/>
      <w:sz w:val="26"/>
    </w:rPr>
  </w:style>
  <w:style w:type="paragraph" w:styleId="berschrift4">
    <w:name w:val="heading 4"/>
    <w:basedOn w:val="Standard"/>
    <w:next w:val="Standard"/>
    <w:link w:val="berschrift4Zchn"/>
    <w:rsid w:val="00DC2C87"/>
    <w:pPr>
      <w:keepNext/>
      <w:numPr>
        <w:ilvl w:val="3"/>
        <w:numId w:val="17"/>
      </w:numPr>
      <w:spacing w:before="240"/>
      <w:outlineLvl w:val="3"/>
    </w:pPr>
    <w:rPr>
      <w:b/>
    </w:rPr>
  </w:style>
  <w:style w:type="paragraph" w:styleId="berschrift5">
    <w:name w:val="heading 5"/>
    <w:basedOn w:val="Standard"/>
    <w:next w:val="Standard"/>
    <w:link w:val="berschrift5Zchn"/>
    <w:rsid w:val="00DC2C87"/>
    <w:pPr>
      <w:numPr>
        <w:ilvl w:val="4"/>
        <w:numId w:val="17"/>
      </w:numPr>
      <w:spacing w:before="240" w:after="40"/>
      <w:outlineLvl w:val="4"/>
    </w:pPr>
    <w:rPr>
      <w:b/>
    </w:rPr>
  </w:style>
  <w:style w:type="paragraph" w:styleId="berschrift6">
    <w:name w:val="heading 6"/>
    <w:basedOn w:val="Standard"/>
    <w:next w:val="Standard"/>
    <w:link w:val="berschrift6Zchn"/>
    <w:rsid w:val="00DC2C87"/>
    <w:pPr>
      <w:numPr>
        <w:ilvl w:val="5"/>
        <w:numId w:val="17"/>
      </w:numPr>
      <w:spacing w:before="240" w:after="60"/>
      <w:outlineLvl w:val="5"/>
    </w:pPr>
    <w:rPr>
      <w:i/>
    </w:rPr>
  </w:style>
  <w:style w:type="paragraph" w:styleId="berschrift7">
    <w:name w:val="heading 7"/>
    <w:basedOn w:val="Standard"/>
    <w:next w:val="Standard"/>
    <w:link w:val="berschrift7Zchn"/>
    <w:rsid w:val="00DC2C87"/>
    <w:pPr>
      <w:numPr>
        <w:ilvl w:val="6"/>
        <w:numId w:val="17"/>
      </w:numPr>
      <w:spacing w:before="240" w:after="60"/>
      <w:outlineLvl w:val="6"/>
    </w:pPr>
    <w:rPr>
      <w:sz w:val="20"/>
    </w:rPr>
  </w:style>
  <w:style w:type="paragraph" w:styleId="berschrift8">
    <w:name w:val="heading 8"/>
    <w:basedOn w:val="Standard"/>
    <w:next w:val="Standard"/>
    <w:link w:val="berschrift8Zchn"/>
    <w:rsid w:val="00DC2C87"/>
    <w:pPr>
      <w:numPr>
        <w:ilvl w:val="7"/>
        <w:numId w:val="17"/>
      </w:numPr>
      <w:spacing w:before="240" w:after="60"/>
      <w:outlineLvl w:val="7"/>
    </w:pPr>
    <w:rPr>
      <w:i/>
      <w:sz w:val="20"/>
    </w:rPr>
  </w:style>
  <w:style w:type="paragraph" w:styleId="berschrift9">
    <w:name w:val="heading 9"/>
    <w:basedOn w:val="Standard"/>
    <w:next w:val="Standard"/>
    <w:link w:val="berschrift9Zchn"/>
    <w:rsid w:val="00DC2C87"/>
    <w:pPr>
      <w:numPr>
        <w:ilvl w:val="8"/>
        <w:numId w:val="17"/>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formation">
    <w:name w:val="Information"/>
    <w:basedOn w:val="Standard"/>
    <w:next w:val="Standard"/>
    <w:rsid w:val="00743ABC"/>
    <w:pPr>
      <w:ind w:left="284"/>
    </w:pPr>
    <w:rPr>
      <w:sz w:val="20"/>
    </w:rPr>
  </w:style>
  <w:style w:type="paragraph" w:customStyle="1" w:styleId="00H051">
    <w:name w:val="00H05"/>
    <w:basedOn w:val="Standard"/>
    <w:qFormat/>
    <w:rsid w:val="00DC2C87"/>
    <w:pPr>
      <w:tabs>
        <w:tab w:val="left" w:pos="284"/>
      </w:tabs>
      <w:ind w:left="284" w:hanging="284"/>
    </w:pPr>
  </w:style>
  <w:style w:type="paragraph" w:customStyle="1" w:styleId="00H050">
    <w:name w:val="00H05–"/>
    <w:basedOn w:val="00H051"/>
    <w:rsid w:val="00DC2C87"/>
    <w:pPr>
      <w:numPr>
        <w:numId w:val="1"/>
      </w:numPr>
    </w:pPr>
  </w:style>
  <w:style w:type="paragraph" w:customStyle="1" w:styleId="00H05">
    <w:name w:val="00H05•"/>
    <w:basedOn w:val="Standard"/>
    <w:rsid w:val="00DC2C87"/>
    <w:pPr>
      <w:numPr>
        <w:numId w:val="2"/>
      </w:numPr>
      <w:tabs>
        <w:tab w:val="left" w:pos="284"/>
      </w:tabs>
    </w:pPr>
    <w:rPr>
      <w:rFonts w:cs="Arial"/>
    </w:rPr>
  </w:style>
  <w:style w:type="paragraph" w:customStyle="1" w:styleId="05">
    <w:name w:val="05"/>
    <w:basedOn w:val="Standard"/>
    <w:rsid w:val="00DC2C87"/>
    <w:pPr>
      <w:ind w:left="284"/>
    </w:pPr>
  </w:style>
  <w:style w:type="paragraph" w:customStyle="1" w:styleId="05H051">
    <w:name w:val="05H05"/>
    <w:basedOn w:val="Standard"/>
    <w:qFormat/>
    <w:rsid w:val="00DC2C87"/>
    <w:pPr>
      <w:ind w:left="568" w:hanging="284"/>
    </w:pPr>
  </w:style>
  <w:style w:type="paragraph" w:customStyle="1" w:styleId="05H05-">
    <w:name w:val="05H05-"/>
    <w:basedOn w:val="Standard"/>
    <w:rsid w:val="00DC2C87"/>
    <w:pPr>
      <w:numPr>
        <w:numId w:val="3"/>
      </w:numPr>
    </w:pPr>
  </w:style>
  <w:style w:type="paragraph" w:customStyle="1" w:styleId="05H05">
    <w:name w:val="05H05°"/>
    <w:basedOn w:val="Standard"/>
    <w:rsid w:val="00DC2C87"/>
    <w:pPr>
      <w:numPr>
        <w:numId w:val="4"/>
      </w:numPr>
      <w:tabs>
        <w:tab w:val="left" w:pos="567"/>
      </w:tabs>
    </w:pPr>
  </w:style>
  <w:style w:type="paragraph" w:customStyle="1" w:styleId="05H050">
    <w:name w:val="05H05•"/>
    <w:basedOn w:val="Standard"/>
    <w:rsid w:val="00DC2C87"/>
    <w:pPr>
      <w:numPr>
        <w:numId w:val="5"/>
      </w:numPr>
      <w:tabs>
        <w:tab w:val="left" w:pos="567"/>
      </w:tabs>
    </w:pPr>
    <w:rPr>
      <w:rFonts w:cs="Arial"/>
    </w:rPr>
  </w:style>
  <w:style w:type="paragraph" w:customStyle="1" w:styleId="10">
    <w:name w:val="10"/>
    <w:basedOn w:val="Standard"/>
    <w:rsid w:val="00DC2C87"/>
    <w:pPr>
      <w:ind w:left="567"/>
    </w:pPr>
  </w:style>
  <w:style w:type="paragraph" w:customStyle="1" w:styleId="10H051">
    <w:name w:val="10H05"/>
    <w:basedOn w:val="Standard"/>
    <w:rsid w:val="00DC2C87"/>
    <w:pPr>
      <w:tabs>
        <w:tab w:val="left" w:pos="851"/>
      </w:tabs>
      <w:ind w:left="851" w:hanging="284"/>
    </w:pPr>
  </w:style>
  <w:style w:type="paragraph" w:customStyle="1" w:styleId="10H050">
    <w:name w:val="10H05–"/>
    <w:basedOn w:val="Standard"/>
    <w:rsid w:val="00DC2C87"/>
    <w:pPr>
      <w:numPr>
        <w:numId w:val="6"/>
      </w:numPr>
      <w:tabs>
        <w:tab w:val="left" w:pos="851"/>
      </w:tabs>
    </w:pPr>
  </w:style>
  <w:style w:type="paragraph" w:customStyle="1" w:styleId="10H05">
    <w:name w:val="10H05+"/>
    <w:basedOn w:val="Standard"/>
    <w:rsid w:val="00DC2C87"/>
    <w:pPr>
      <w:numPr>
        <w:numId w:val="7"/>
      </w:numPr>
      <w:tabs>
        <w:tab w:val="left" w:pos="851"/>
      </w:tabs>
    </w:pPr>
  </w:style>
  <w:style w:type="paragraph" w:customStyle="1" w:styleId="15H050">
    <w:name w:val="15H05"/>
    <w:basedOn w:val="Standard"/>
    <w:rsid w:val="00DC2C87"/>
    <w:pPr>
      <w:ind w:left="1135" w:hanging="284"/>
    </w:pPr>
  </w:style>
  <w:style w:type="paragraph" w:customStyle="1" w:styleId="15H05">
    <w:name w:val="15H05*"/>
    <w:basedOn w:val="Standard"/>
    <w:rsid w:val="00DC2C87"/>
    <w:pPr>
      <w:numPr>
        <w:numId w:val="8"/>
      </w:numPr>
    </w:pPr>
  </w:style>
  <w:style w:type="paragraph" w:customStyle="1" w:styleId="20H05">
    <w:name w:val="20H05"/>
    <w:basedOn w:val="Standard"/>
    <w:rsid w:val="00DC2C87"/>
    <w:pPr>
      <w:ind w:left="1418" w:hanging="284"/>
    </w:pPr>
    <w:rPr>
      <w:b/>
      <w:sz w:val="28"/>
      <w:szCs w:val="28"/>
    </w:rPr>
  </w:style>
  <w:style w:type="paragraph" w:customStyle="1" w:styleId="Distichon">
    <w:name w:val="Distichon"/>
    <w:basedOn w:val="Standard"/>
    <w:rsid w:val="00DC2C87"/>
    <w:pPr>
      <w:ind w:hanging="284"/>
    </w:pPr>
  </w:style>
  <w:style w:type="paragraph" w:styleId="Funotentext">
    <w:name w:val="footnote text"/>
    <w:basedOn w:val="Standard"/>
    <w:link w:val="FunotentextZchn"/>
    <w:semiHidden/>
    <w:rsid w:val="00DC2C87"/>
  </w:style>
  <w:style w:type="character" w:customStyle="1" w:styleId="FunotentextZchn">
    <w:name w:val="Fußnotentext Zchn"/>
    <w:basedOn w:val="Absatz-Standardschriftart"/>
    <w:link w:val="Funotentext"/>
    <w:semiHidden/>
    <w:rsid w:val="00DC2C87"/>
    <w:rPr>
      <w:rFonts w:ascii="Bookman Old Style" w:hAnsi="Bookman Old Style"/>
      <w:sz w:val="22"/>
      <w:lang w:val="de-AT"/>
    </w:rPr>
  </w:style>
  <w:style w:type="paragraph" w:styleId="Fuzeile">
    <w:name w:val="footer"/>
    <w:basedOn w:val="Standard"/>
    <w:link w:val="FuzeileZchn"/>
    <w:rsid w:val="00DC2C87"/>
    <w:pPr>
      <w:tabs>
        <w:tab w:val="center" w:pos="4536"/>
        <w:tab w:val="right" w:pos="9072"/>
      </w:tabs>
    </w:pPr>
    <w:rPr>
      <w:sz w:val="18"/>
    </w:rPr>
  </w:style>
  <w:style w:type="character" w:customStyle="1" w:styleId="FuzeileZchn">
    <w:name w:val="Fußzeile Zchn"/>
    <w:basedOn w:val="Absatz-Standardschriftart"/>
    <w:link w:val="Fuzeile"/>
    <w:rsid w:val="00DC2C87"/>
    <w:rPr>
      <w:rFonts w:ascii="Bookman Old Style" w:hAnsi="Bookman Old Style"/>
      <w:sz w:val="18"/>
      <w:lang w:val="de-AT"/>
    </w:rPr>
  </w:style>
  <w:style w:type="paragraph" w:styleId="KeinLeerraum">
    <w:name w:val="No Spacing"/>
    <w:uiPriority w:val="1"/>
    <w:rsid w:val="00DC2C87"/>
    <w:pPr>
      <w:spacing w:before="100"/>
      <w:ind w:left="221"/>
    </w:pPr>
    <w:rPr>
      <w:rFonts w:ascii="Bookman Old Style" w:hAnsi="Bookman Old Style"/>
      <w:sz w:val="22"/>
    </w:rPr>
  </w:style>
  <w:style w:type="paragraph" w:styleId="Kopfzeile">
    <w:name w:val="header"/>
    <w:basedOn w:val="Standard"/>
    <w:link w:val="KopfzeileZchn"/>
    <w:rsid w:val="00DC2C87"/>
    <w:pPr>
      <w:tabs>
        <w:tab w:val="center" w:pos="4820"/>
      </w:tabs>
    </w:pPr>
  </w:style>
  <w:style w:type="character" w:customStyle="1" w:styleId="KopfzeileZchn">
    <w:name w:val="Kopfzeile Zchn"/>
    <w:basedOn w:val="Absatz-Standardschriftart"/>
    <w:link w:val="Kopfzeile"/>
    <w:rsid w:val="00DC2C87"/>
    <w:rPr>
      <w:rFonts w:ascii="Bookman Old Style" w:hAnsi="Bookman Old Style"/>
      <w:sz w:val="22"/>
      <w:lang w:val="de-AT"/>
    </w:rPr>
  </w:style>
  <w:style w:type="character" w:styleId="Seitenzahl">
    <w:name w:val="page number"/>
    <w:basedOn w:val="Absatz-Standardschriftart"/>
    <w:rsid w:val="00DC2C87"/>
    <w:rPr>
      <w:rFonts w:ascii="Arial" w:hAnsi="Arial"/>
      <w:sz w:val="22"/>
      <w:u w:val="none"/>
    </w:rPr>
  </w:style>
  <w:style w:type="table" w:styleId="Tabellengitternetz">
    <w:name w:val="Table Grid"/>
    <w:basedOn w:val="NormaleTabelle"/>
    <w:uiPriority w:val="59"/>
    <w:rsid w:val="005944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el">
    <w:name w:val="titel"/>
    <w:basedOn w:val="Standard"/>
    <w:rsid w:val="00DC2C87"/>
    <w:rPr>
      <w:b/>
      <w:sz w:val="28"/>
    </w:rPr>
  </w:style>
  <w:style w:type="character" w:customStyle="1" w:styleId="berschrift1Zchn">
    <w:name w:val="Überschrift 1 Zchn"/>
    <w:basedOn w:val="Absatz-Standardschriftart"/>
    <w:link w:val="berschrift1"/>
    <w:rsid w:val="00DC2C87"/>
    <w:rPr>
      <w:rFonts w:ascii="Bookman Old Style" w:hAnsi="Bookman Old Style"/>
      <w:b/>
      <w:kern w:val="28"/>
      <w:sz w:val="32"/>
      <w:lang w:val="de-AT"/>
    </w:rPr>
  </w:style>
  <w:style w:type="character" w:customStyle="1" w:styleId="berschrift2Zchn">
    <w:name w:val="Überschrift 2 Zchn"/>
    <w:basedOn w:val="Absatz-Standardschriftart"/>
    <w:link w:val="berschrift2"/>
    <w:rsid w:val="00DC2C87"/>
    <w:rPr>
      <w:rFonts w:ascii="Bookman Old Style" w:hAnsi="Bookman Old Style"/>
      <w:b/>
      <w:sz w:val="28"/>
      <w:lang w:val="de-AT"/>
    </w:rPr>
  </w:style>
  <w:style w:type="character" w:customStyle="1" w:styleId="berschrift3Zchn">
    <w:name w:val="Überschrift 3 Zchn"/>
    <w:basedOn w:val="Absatz-Standardschriftart"/>
    <w:link w:val="berschrift3"/>
    <w:rsid w:val="00DC2C87"/>
    <w:rPr>
      <w:rFonts w:ascii="Bookman Old Style" w:hAnsi="Bookman Old Style"/>
      <w:b/>
      <w:sz w:val="26"/>
      <w:lang w:val="de-AT"/>
    </w:rPr>
  </w:style>
  <w:style w:type="character" w:customStyle="1" w:styleId="berschrift4Zchn">
    <w:name w:val="Überschrift 4 Zchn"/>
    <w:basedOn w:val="Absatz-Standardschriftart"/>
    <w:link w:val="berschrift4"/>
    <w:rsid w:val="00DC2C87"/>
    <w:rPr>
      <w:rFonts w:ascii="Bookman Old Style" w:hAnsi="Bookman Old Style"/>
      <w:b/>
      <w:sz w:val="22"/>
      <w:lang w:val="de-AT"/>
    </w:rPr>
  </w:style>
  <w:style w:type="character" w:customStyle="1" w:styleId="berschrift5Zchn">
    <w:name w:val="Überschrift 5 Zchn"/>
    <w:basedOn w:val="Absatz-Standardschriftart"/>
    <w:link w:val="berschrift5"/>
    <w:rsid w:val="00DC2C87"/>
    <w:rPr>
      <w:rFonts w:ascii="Bookman Old Style" w:hAnsi="Bookman Old Style"/>
      <w:b/>
      <w:sz w:val="22"/>
      <w:lang w:val="de-AT"/>
    </w:rPr>
  </w:style>
  <w:style w:type="character" w:customStyle="1" w:styleId="berschrift6Zchn">
    <w:name w:val="Überschrift 6 Zchn"/>
    <w:basedOn w:val="Absatz-Standardschriftart"/>
    <w:link w:val="berschrift6"/>
    <w:rsid w:val="00DC2C87"/>
    <w:rPr>
      <w:rFonts w:ascii="Bookman Old Style" w:hAnsi="Bookman Old Style"/>
      <w:i/>
      <w:sz w:val="22"/>
      <w:lang w:val="de-AT"/>
    </w:rPr>
  </w:style>
  <w:style w:type="character" w:customStyle="1" w:styleId="berschrift7Zchn">
    <w:name w:val="Überschrift 7 Zchn"/>
    <w:basedOn w:val="Absatz-Standardschriftart"/>
    <w:link w:val="berschrift7"/>
    <w:rsid w:val="00DC2C87"/>
    <w:rPr>
      <w:rFonts w:ascii="Bookman Old Style" w:hAnsi="Bookman Old Style"/>
      <w:lang w:val="de-AT"/>
    </w:rPr>
  </w:style>
  <w:style w:type="character" w:customStyle="1" w:styleId="berschrift8Zchn">
    <w:name w:val="Überschrift 8 Zchn"/>
    <w:basedOn w:val="Absatz-Standardschriftart"/>
    <w:link w:val="berschrift8"/>
    <w:rsid w:val="00DC2C87"/>
    <w:rPr>
      <w:rFonts w:ascii="Bookman Old Style" w:hAnsi="Bookman Old Style"/>
      <w:i/>
      <w:lang w:val="de-AT"/>
    </w:rPr>
  </w:style>
  <w:style w:type="character" w:customStyle="1" w:styleId="berschrift9Zchn">
    <w:name w:val="Überschrift 9 Zchn"/>
    <w:basedOn w:val="Absatz-Standardschriftart"/>
    <w:link w:val="berschrift9"/>
    <w:rsid w:val="00DC2C87"/>
    <w:rPr>
      <w:rFonts w:ascii="Bookman Old Style" w:hAnsi="Bookman Old Style"/>
      <w:i/>
      <w:sz w:val="22"/>
      <w:lang w:val="de-AT"/>
    </w:rPr>
  </w:style>
  <w:style w:type="paragraph" w:styleId="Verzeichnis1">
    <w:name w:val="toc 1"/>
    <w:basedOn w:val="Standard"/>
    <w:next w:val="Standard"/>
    <w:autoRedefine/>
    <w:semiHidden/>
    <w:rsid w:val="00DC2C87"/>
    <w:pPr>
      <w:keepNext/>
      <w:tabs>
        <w:tab w:val="right" w:pos="9639"/>
      </w:tabs>
      <w:spacing w:before="360"/>
    </w:pPr>
    <w:rPr>
      <w:rFonts w:ascii="Times New Roman" w:hAnsi="Times New Roman"/>
      <w:b/>
      <w:caps/>
    </w:rPr>
  </w:style>
  <w:style w:type="paragraph" w:styleId="Verzeichnis2">
    <w:name w:val="toc 2"/>
    <w:basedOn w:val="Standard"/>
    <w:next w:val="Standard"/>
    <w:autoRedefine/>
    <w:semiHidden/>
    <w:rsid w:val="00DC2C87"/>
    <w:pPr>
      <w:tabs>
        <w:tab w:val="right" w:pos="9639"/>
      </w:tabs>
    </w:pPr>
    <w:rPr>
      <w:rFonts w:ascii="Times New Roman" w:hAnsi="Times New Roman"/>
      <w:b/>
    </w:rPr>
  </w:style>
  <w:style w:type="paragraph" w:styleId="Verzeichnis3">
    <w:name w:val="toc 3"/>
    <w:basedOn w:val="Standard"/>
    <w:next w:val="Standard"/>
    <w:autoRedefine/>
    <w:semiHidden/>
    <w:rsid w:val="00DC2C87"/>
    <w:pPr>
      <w:tabs>
        <w:tab w:val="right" w:pos="9639"/>
      </w:tabs>
      <w:ind w:left="440"/>
    </w:pPr>
    <w:rPr>
      <w:rFonts w:ascii="Times New Roman" w:hAnsi="Times New Roman"/>
    </w:rPr>
  </w:style>
  <w:style w:type="paragraph" w:styleId="Verzeichnis4">
    <w:name w:val="toc 4"/>
    <w:basedOn w:val="Standard"/>
    <w:next w:val="Standard"/>
    <w:autoRedefine/>
    <w:semiHidden/>
    <w:rsid w:val="00DC2C87"/>
    <w:pPr>
      <w:tabs>
        <w:tab w:val="right" w:pos="9639"/>
      </w:tabs>
      <w:ind w:left="660"/>
    </w:pPr>
    <w:rPr>
      <w:rFonts w:ascii="Times New Roman" w:hAnsi="Times New Roman"/>
      <w:sz w:val="20"/>
    </w:rPr>
  </w:style>
  <w:style w:type="paragraph" w:styleId="Verzeichnis5">
    <w:name w:val="toc 5"/>
    <w:basedOn w:val="Standard"/>
    <w:next w:val="Standard"/>
    <w:autoRedefine/>
    <w:semiHidden/>
    <w:rsid w:val="00DC2C87"/>
    <w:pPr>
      <w:tabs>
        <w:tab w:val="right" w:pos="9639"/>
      </w:tabs>
      <w:ind w:left="880"/>
    </w:pPr>
    <w:rPr>
      <w:rFonts w:ascii="Times New Roman" w:hAnsi="Times New Roman"/>
      <w:sz w:val="20"/>
    </w:rPr>
  </w:style>
  <w:style w:type="paragraph" w:styleId="Verzeichnis6">
    <w:name w:val="toc 6"/>
    <w:basedOn w:val="Standard"/>
    <w:next w:val="Standard"/>
    <w:autoRedefine/>
    <w:semiHidden/>
    <w:rsid w:val="00DC2C87"/>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DC2C87"/>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DC2C87"/>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DC2C87"/>
    <w:pPr>
      <w:tabs>
        <w:tab w:val="right" w:pos="9639"/>
      </w:tabs>
      <w:ind w:left="1760"/>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Germanenexkur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Germanenexkurs.dotx</Template>
  <TotalTime>0</TotalTime>
  <Pages>5</Pages>
  <Words>2549</Words>
  <Characters>16063</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dc:creator>
  <cp:lastModifiedBy>Martin</cp:lastModifiedBy>
  <cp:revision>139</cp:revision>
  <cp:lastPrinted>2010-11-05T17:06:00Z</cp:lastPrinted>
  <dcterms:created xsi:type="dcterms:W3CDTF">2010-11-01T19:44:00Z</dcterms:created>
  <dcterms:modified xsi:type="dcterms:W3CDTF">2011-01-20T09:30:00Z</dcterms:modified>
</cp:coreProperties>
</file>