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34" w:rsidRDefault="00451999">
      <w:r w:rsidRPr="00451999">
        <w:rPr>
          <w:b/>
        </w:rPr>
        <w:t>Grammatik</w:t>
      </w:r>
      <w:r w:rsidR="00B45160">
        <w:rPr>
          <w:b/>
        </w:rPr>
        <w:t xml:space="preserve"> während der Lektüre</w:t>
      </w:r>
      <w:r w:rsidR="000A46A6">
        <w:rPr>
          <w:b/>
        </w:rPr>
        <w:t>phase</w:t>
      </w:r>
    </w:p>
    <w:p w:rsidR="00684149" w:rsidRPr="00684149" w:rsidRDefault="00684149" w:rsidP="003E5002">
      <w:pPr>
        <w:tabs>
          <w:tab w:val="num" w:pos="720"/>
        </w:tabs>
        <w:jc w:val="both"/>
        <w:rPr>
          <w:i/>
        </w:rPr>
      </w:pPr>
      <w:r w:rsidRPr="00684149">
        <w:rPr>
          <w:i/>
        </w:rPr>
        <w:t>Neuerungen</w:t>
      </w:r>
    </w:p>
    <w:p w:rsidR="00B45160" w:rsidRDefault="00D828B1" w:rsidP="003E5002">
      <w:pPr>
        <w:tabs>
          <w:tab w:val="num" w:pos="720"/>
        </w:tabs>
        <w:jc w:val="both"/>
      </w:pPr>
      <w:r>
        <w:t>Laut</w:t>
      </w:r>
      <w:r w:rsidR="000A46A6">
        <w:t xml:space="preserve"> </w:t>
      </w:r>
      <w:r w:rsidR="00B45160">
        <w:t>Bildungsplan</w:t>
      </w:r>
      <w:r w:rsidR="002A6C0D">
        <w:t xml:space="preserve"> 2016</w:t>
      </w:r>
      <w:r w:rsidR="00B45160">
        <w:t xml:space="preserve"> soll der Übergang zur Originallektüre für L</w:t>
      </w:r>
      <w:r w:rsidR="00271DAD" w:rsidRPr="00B45160">
        <w:t>1 „im Laufe von Klasse 8“</w:t>
      </w:r>
      <w:r w:rsidR="00B45160">
        <w:t xml:space="preserve">, für </w:t>
      </w:r>
      <w:r w:rsidR="00271DAD" w:rsidRPr="00B45160">
        <w:t>L2 „im ersten Halbjahr von Klasse 9“</w:t>
      </w:r>
      <w:r w:rsidR="00B45160">
        <w:t xml:space="preserve"> erfolgen</w:t>
      </w:r>
      <w:r w:rsidR="004A1CDD">
        <w:t xml:space="preserve">. Daraus ergibt sich, dass </w:t>
      </w:r>
      <w:r w:rsidR="00D534E1">
        <w:t xml:space="preserve">mehrere </w:t>
      </w:r>
      <w:r w:rsidR="00B45160" w:rsidRPr="00B45160">
        <w:t>Phänomene der Satz- und Formenlehre, die nicht in den Bildungsstandards für Klasse 8, sondern in denen für Klasse 9/10 enthalten sind, erst während der Lektüre behandelt</w:t>
      </w:r>
      <w:r w:rsidR="004A1CDD">
        <w:t xml:space="preserve"> werden</w:t>
      </w:r>
      <w:r w:rsidR="00B45160" w:rsidRPr="00B45160">
        <w:t>.</w:t>
      </w:r>
      <w:r w:rsidR="00066AAD">
        <w:t xml:space="preserve"> Zu diesen Grammatikphänomenen, die erst am Ende von Klasse 10 vorauszusetzen sind, zählen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403850" w:rsidRPr="000A46A6" w:rsidTr="00403850">
        <w:tc>
          <w:tcPr>
            <w:tcW w:w="4661" w:type="dxa"/>
          </w:tcPr>
          <w:p w:rsidR="00403850" w:rsidRPr="000A46A6" w:rsidRDefault="00403850" w:rsidP="006033C8">
            <w:r w:rsidRPr="000A46A6">
              <w:t>für L1 und L2</w:t>
            </w:r>
            <w:r w:rsidR="000A46A6" w:rsidRPr="000A46A6">
              <w:t>:</w:t>
            </w:r>
          </w:p>
        </w:tc>
        <w:tc>
          <w:tcPr>
            <w:tcW w:w="4661" w:type="dxa"/>
          </w:tcPr>
          <w:p w:rsidR="00403850" w:rsidRPr="000A46A6" w:rsidRDefault="00403850">
            <w:r w:rsidRPr="000A46A6">
              <w:t>darüber hinaus für L2</w:t>
            </w:r>
            <w:r w:rsidR="000A46A6" w:rsidRPr="000A46A6">
              <w:t>:</w:t>
            </w:r>
          </w:p>
        </w:tc>
      </w:tr>
      <w:tr w:rsidR="00403850" w:rsidTr="00403850">
        <w:tc>
          <w:tcPr>
            <w:tcW w:w="4661" w:type="dxa"/>
          </w:tcPr>
          <w:p w:rsidR="00403850" w:rsidRDefault="00484675" w:rsidP="006033C8">
            <w:pPr>
              <w:pStyle w:val="Listenabsatz"/>
              <w:numPr>
                <w:ilvl w:val="0"/>
                <w:numId w:val="2"/>
              </w:numPr>
            </w:pPr>
            <w:r>
              <w:t>k</w:t>
            </w:r>
            <w:r w:rsidR="00403850">
              <w:t>onjunktivische Relativsätze</w:t>
            </w:r>
          </w:p>
          <w:p w:rsidR="00403850" w:rsidRDefault="00403850" w:rsidP="006033C8">
            <w:pPr>
              <w:pStyle w:val="Listenabsatz"/>
              <w:numPr>
                <w:ilvl w:val="0"/>
                <w:numId w:val="2"/>
              </w:numPr>
            </w:pPr>
            <w:r>
              <w:t>Potentialis</w:t>
            </w:r>
          </w:p>
          <w:p w:rsidR="00403850" w:rsidRDefault="00803DB9" w:rsidP="006033C8">
            <w:pPr>
              <w:pStyle w:val="Listenabsatz"/>
              <w:numPr>
                <w:ilvl w:val="0"/>
                <w:numId w:val="2"/>
              </w:numPr>
            </w:pPr>
            <w:proofErr w:type="spellStart"/>
            <w:r>
              <w:t>d</w:t>
            </w:r>
            <w:r w:rsidR="00403850">
              <w:t>ativus</w:t>
            </w:r>
            <w:proofErr w:type="spellEnd"/>
            <w:r w:rsidR="00403850">
              <w:t xml:space="preserve"> </w:t>
            </w:r>
            <w:proofErr w:type="spellStart"/>
            <w:r w:rsidR="00403850">
              <w:t>auctoris</w:t>
            </w:r>
            <w:proofErr w:type="spellEnd"/>
          </w:p>
          <w:p w:rsidR="00403850" w:rsidRDefault="00403850" w:rsidP="006033C8">
            <w:pPr>
              <w:pStyle w:val="Listenabsatz"/>
              <w:numPr>
                <w:ilvl w:val="0"/>
                <w:numId w:val="2"/>
              </w:numPr>
            </w:pPr>
            <w:proofErr w:type="spellStart"/>
            <w:r>
              <w:t>nd</w:t>
            </w:r>
            <w:proofErr w:type="spellEnd"/>
            <w:r>
              <w:t>-Formen</w:t>
            </w:r>
          </w:p>
          <w:p w:rsidR="00403850" w:rsidRDefault="004F1C4B" w:rsidP="006033C8">
            <w:pPr>
              <w:pStyle w:val="Listenabsatz"/>
              <w:numPr>
                <w:ilvl w:val="0"/>
                <w:numId w:val="2"/>
              </w:numPr>
            </w:pPr>
            <w:proofErr w:type="spellStart"/>
            <w:r>
              <w:t>o</w:t>
            </w:r>
            <w:r w:rsidR="00403850">
              <w:t>ratio</w:t>
            </w:r>
            <w:proofErr w:type="spellEnd"/>
            <w:r w:rsidR="00403850">
              <w:t xml:space="preserve"> </w:t>
            </w:r>
            <w:proofErr w:type="spellStart"/>
            <w:r w:rsidR="00403850">
              <w:t>obliqua</w:t>
            </w:r>
            <w:proofErr w:type="spellEnd"/>
          </w:p>
          <w:p w:rsidR="00403850" w:rsidRDefault="00403850" w:rsidP="006033C8">
            <w:pPr>
              <w:pStyle w:val="Listenabsatz"/>
              <w:numPr>
                <w:ilvl w:val="0"/>
                <w:numId w:val="2"/>
              </w:numPr>
            </w:pPr>
            <w:r>
              <w:t xml:space="preserve">Partizip </w:t>
            </w:r>
            <w:r w:rsidR="004F1C4B">
              <w:t>Futur Aktiv</w:t>
            </w:r>
          </w:p>
          <w:p w:rsidR="00403850" w:rsidRDefault="00403850" w:rsidP="006033C8">
            <w:pPr>
              <w:pStyle w:val="Listenabsatz"/>
              <w:numPr>
                <w:ilvl w:val="0"/>
                <w:numId w:val="2"/>
              </w:numPr>
            </w:pPr>
            <w:r>
              <w:t xml:space="preserve">Vergleich der </w:t>
            </w:r>
            <w:proofErr w:type="spellStart"/>
            <w:r>
              <w:t>Indefinitpronomina</w:t>
            </w:r>
            <w:proofErr w:type="spellEnd"/>
            <w:r>
              <w:t xml:space="preserve"> </w:t>
            </w:r>
            <w:proofErr w:type="spellStart"/>
            <w:r w:rsidRPr="00403850">
              <w:rPr>
                <w:i/>
              </w:rPr>
              <w:t>quis</w:t>
            </w:r>
            <w:proofErr w:type="spellEnd"/>
            <w:r w:rsidRPr="00403850">
              <w:rPr>
                <w:i/>
              </w:rPr>
              <w:t xml:space="preserve">, </w:t>
            </w:r>
            <w:proofErr w:type="spellStart"/>
            <w:r w:rsidRPr="00403850">
              <w:rPr>
                <w:i/>
              </w:rPr>
              <w:t>aliquis</w:t>
            </w:r>
            <w:proofErr w:type="spellEnd"/>
            <w:r w:rsidRPr="00403850">
              <w:rPr>
                <w:i/>
              </w:rPr>
              <w:t xml:space="preserve">, </w:t>
            </w:r>
            <w:proofErr w:type="spellStart"/>
            <w:r w:rsidRPr="00403850">
              <w:rPr>
                <w:i/>
              </w:rPr>
              <w:t>quisquam</w:t>
            </w:r>
            <w:proofErr w:type="spellEnd"/>
          </w:p>
        </w:tc>
        <w:tc>
          <w:tcPr>
            <w:tcW w:w="4661" w:type="dxa"/>
          </w:tcPr>
          <w:p w:rsidR="00403850" w:rsidRDefault="00403850" w:rsidP="00403850">
            <w:pPr>
              <w:pStyle w:val="Listenabsatz"/>
              <w:numPr>
                <w:ilvl w:val="0"/>
                <w:numId w:val="2"/>
              </w:numPr>
            </w:pPr>
            <w:r>
              <w:t>Komparation</w:t>
            </w:r>
          </w:p>
          <w:p w:rsidR="00403850" w:rsidRDefault="00403850" w:rsidP="00403850">
            <w:pPr>
              <w:pStyle w:val="Listenabsatz"/>
              <w:numPr>
                <w:ilvl w:val="0"/>
                <w:numId w:val="2"/>
              </w:numPr>
            </w:pPr>
            <w:r>
              <w:t xml:space="preserve">Optativ, Prohibitiv, </w:t>
            </w:r>
            <w:proofErr w:type="spellStart"/>
            <w:r>
              <w:t>Deliberativ</w:t>
            </w:r>
            <w:proofErr w:type="spellEnd"/>
            <w:r>
              <w:t xml:space="preserve"> im HS</w:t>
            </w:r>
          </w:p>
          <w:p w:rsidR="00403850" w:rsidRDefault="00403850" w:rsidP="00066AAD">
            <w:pPr>
              <w:pStyle w:val="Listenabsatz"/>
              <w:numPr>
                <w:ilvl w:val="0"/>
                <w:numId w:val="2"/>
              </w:numPr>
            </w:pPr>
            <w:r>
              <w:t>Relativsätze als Subjekt/Objekt</w:t>
            </w:r>
          </w:p>
          <w:p w:rsidR="00403850" w:rsidRDefault="00403850" w:rsidP="00403850">
            <w:pPr>
              <w:pStyle w:val="Listenabsatz"/>
              <w:numPr>
                <w:ilvl w:val="0"/>
                <w:numId w:val="2"/>
              </w:numPr>
            </w:pPr>
            <w:r>
              <w:t>Infinitiv Futur</w:t>
            </w:r>
          </w:p>
          <w:p w:rsidR="00403850" w:rsidRDefault="00403850" w:rsidP="00403850">
            <w:pPr>
              <w:pStyle w:val="Listenabsatz"/>
              <w:numPr>
                <w:ilvl w:val="0"/>
                <w:numId w:val="2"/>
              </w:numPr>
            </w:pPr>
            <w:proofErr w:type="spellStart"/>
            <w:r>
              <w:t>NcI</w:t>
            </w:r>
            <w:proofErr w:type="spellEnd"/>
          </w:p>
          <w:p w:rsidR="00403850" w:rsidRDefault="00403850" w:rsidP="00403850">
            <w:pPr>
              <w:pStyle w:val="Listenabsatz"/>
              <w:numPr>
                <w:ilvl w:val="0"/>
                <w:numId w:val="2"/>
              </w:numPr>
            </w:pPr>
            <w:r>
              <w:t>Futur II</w:t>
            </w:r>
          </w:p>
          <w:p w:rsidR="00403850" w:rsidRPr="00403850" w:rsidRDefault="00403850" w:rsidP="00403850">
            <w:pPr>
              <w:pStyle w:val="Listenabsatz"/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03850">
              <w:rPr>
                <w:i/>
              </w:rPr>
              <w:t>fieri</w:t>
            </w:r>
            <w:proofErr w:type="spellEnd"/>
          </w:p>
          <w:p w:rsidR="00403850" w:rsidRDefault="00403850" w:rsidP="00066AAD">
            <w:pPr>
              <w:pStyle w:val="Listenabsatz"/>
              <w:numPr>
                <w:ilvl w:val="0"/>
                <w:numId w:val="2"/>
              </w:numPr>
            </w:pPr>
            <w:r>
              <w:t>adjektivisches Interrogativpronomen</w:t>
            </w:r>
          </w:p>
          <w:p w:rsidR="00403850" w:rsidRPr="00403850" w:rsidRDefault="00403850" w:rsidP="00403850">
            <w:pPr>
              <w:pStyle w:val="Listenabsatz"/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03850">
              <w:rPr>
                <w:i/>
              </w:rPr>
              <w:t>iste</w:t>
            </w:r>
            <w:proofErr w:type="spellEnd"/>
            <w:r w:rsidRPr="00403850">
              <w:rPr>
                <w:i/>
              </w:rPr>
              <w:t>/idem</w:t>
            </w:r>
          </w:p>
          <w:p w:rsidR="00403850" w:rsidRDefault="00403850" w:rsidP="00403850">
            <w:pPr>
              <w:pStyle w:val="Listenabsatz"/>
              <w:numPr>
                <w:ilvl w:val="0"/>
                <w:numId w:val="2"/>
              </w:numPr>
            </w:pPr>
            <w:r>
              <w:t>(Semi-)</w:t>
            </w:r>
            <w:proofErr w:type="spellStart"/>
            <w:r>
              <w:t>Deponentien</w:t>
            </w:r>
            <w:proofErr w:type="spellEnd"/>
            <w:r>
              <w:t xml:space="preserve"> </w:t>
            </w:r>
          </w:p>
          <w:p w:rsidR="00403850" w:rsidRDefault="00403850" w:rsidP="00403850">
            <w:pPr>
              <w:pStyle w:val="Listenabsatz"/>
              <w:numPr>
                <w:ilvl w:val="0"/>
                <w:numId w:val="2"/>
              </w:numPr>
            </w:pPr>
            <w:r>
              <w:t>Bildung von Adverbien</w:t>
            </w:r>
          </w:p>
        </w:tc>
      </w:tr>
    </w:tbl>
    <w:p w:rsidR="00B45160" w:rsidRPr="009C7F6A" w:rsidRDefault="00B45160"/>
    <w:p w:rsidR="002A6C0D" w:rsidRDefault="002A6C0D" w:rsidP="003E5002">
      <w:pPr>
        <w:jc w:val="both"/>
      </w:pPr>
      <w:r>
        <w:t xml:space="preserve">Wenngleich davon auszugehen ist, dass aufgrund der Progression des </w:t>
      </w:r>
      <w:r w:rsidR="00484675">
        <w:t>jeweiligen</w:t>
      </w:r>
      <w:r>
        <w:t xml:space="preserve"> Lehrwerks auch einige der angeführten Grammatikthemen </w:t>
      </w:r>
      <w:r w:rsidR="00197826">
        <w:t>bei einem Übergang in die Lektüre</w:t>
      </w:r>
      <w:r w:rsidR="00D828B1">
        <w:t>phase</w:t>
      </w:r>
      <w:r w:rsidR="00197826">
        <w:t xml:space="preserve"> </w:t>
      </w:r>
      <w:r>
        <w:t>bereits behandelt sein können, so dürfte</w:t>
      </w:r>
      <w:r w:rsidR="00197826">
        <w:t>n</w:t>
      </w:r>
      <w:r>
        <w:t xml:space="preserve"> doch insbesondere </w:t>
      </w:r>
      <w:r w:rsidR="00197826">
        <w:t xml:space="preserve">für </w:t>
      </w:r>
      <w:r>
        <w:t xml:space="preserve">L2-Lerngruppen </w:t>
      </w:r>
      <w:r w:rsidR="00197826">
        <w:t>zahlreiche Phänomene noch ausstehen. Geht man von einem vorzeitigen Ausstieg aus dem Lehrbuch aus, der durch die zeitliche Vorgabe des Lektürebeginns wahrscheinlich ist, ist eine umso sorgfältigere</w:t>
      </w:r>
      <w:r>
        <w:t xml:space="preserve"> Abstimmung </w:t>
      </w:r>
      <w:r w:rsidR="00197826">
        <w:t xml:space="preserve">der Lektüre </w:t>
      </w:r>
      <w:r>
        <w:t xml:space="preserve">auf </w:t>
      </w:r>
      <w:r w:rsidR="00197826">
        <w:t>bereits angeeignete und zu vertiefende</w:t>
      </w:r>
      <w:r>
        <w:t xml:space="preserve"> Kompetenzen </w:t>
      </w:r>
      <w:r w:rsidR="00197826">
        <w:t>wichtig.</w:t>
      </w:r>
    </w:p>
    <w:p w:rsidR="00066AAD" w:rsidRDefault="00197826" w:rsidP="003E5002">
      <w:pPr>
        <w:jc w:val="both"/>
      </w:pPr>
      <w:r>
        <w:t>Da die Praxis des Lateinunterrichts in der Spracherwerbsphase stark von den eingesetz</w:t>
      </w:r>
      <w:r w:rsidR="00F40962">
        <w:t>t</w:t>
      </w:r>
      <w:r>
        <w:t>en Lehr</w:t>
      </w:r>
      <w:r w:rsidR="00F40962">
        <w:t>bücher</w:t>
      </w:r>
      <w:r>
        <w:t xml:space="preserve">n geprägt wird, </w:t>
      </w:r>
      <w:r w:rsidR="0041351B">
        <w:t xml:space="preserve">lohnt </w:t>
      </w:r>
      <w:r>
        <w:t xml:space="preserve">auch </w:t>
      </w:r>
      <w:r w:rsidR="004F1C4B">
        <w:t xml:space="preserve">an dieser Stelle </w:t>
      </w:r>
      <w:r>
        <w:t>ein</w:t>
      </w:r>
      <w:r w:rsidR="0041351B">
        <w:t xml:space="preserve"> </w:t>
      </w:r>
      <w:r w:rsidR="004F1C4B">
        <w:t>Ver</w:t>
      </w:r>
      <w:r w:rsidR="0041351B">
        <w:t xml:space="preserve">gleich </w:t>
      </w:r>
      <w:r w:rsidR="004F1C4B">
        <w:t>der neueren Lateinlehrwerke. Bei genauerer Betrachtung, zu welchem Zeitpunkt die einzelnen Phänomene in den L</w:t>
      </w:r>
      <w:r w:rsidR="00F40962">
        <w:t>ateinbüchern</w:t>
      </w:r>
      <w:r w:rsidR="004F1C4B">
        <w:t xml:space="preserve"> </w:t>
      </w:r>
      <w:r w:rsidR="00D828B1">
        <w:t>vorgesehen</w:t>
      </w:r>
      <w:r w:rsidR="004F1C4B">
        <w:t xml:space="preserve"> sind, wird deutlich, dass </w:t>
      </w:r>
      <w:r w:rsidR="00D534E1">
        <w:t xml:space="preserve">– von wenigen Ausnahmen abgesehen – die </w:t>
      </w:r>
      <w:r w:rsidR="004F1C4B">
        <w:t>meisten der oben genannten Grammatikerscheinungen in ihnen erst spät oder gar nicht behandelt werden.</w:t>
      </w:r>
    </w:p>
    <w:p w:rsidR="00271DAD" w:rsidRDefault="00271DAD" w:rsidP="00271DAD"/>
    <w:p w:rsidR="00684149" w:rsidRPr="00684149" w:rsidRDefault="00684149" w:rsidP="003E5002">
      <w:pPr>
        <w:jc w:val="both"/>
        <w:rPr>
          <w:i/>
        </w:rPr>
      </w:pPr>
      <w:r w:rsidRPr="00684149">
        <w:rPr>
          <w:i/>
        </w:rPr>
        <w:t>Didaktische Folgerungen</w:t>
      </w:r>
    </w:p>
    <w:p w:rsidR="00F40962" w:rsidRDefault="00D534E1" w:rsidP="000D2572">
      <w:pPr>
        <w:pStyle w:val="Listenabsatz"/>
        <w:numPr>
          <w:ilvl w:val="0"/>
          <w:numId w:val="2"/>
        </w:numPr>
        <w:jc w:val="both"/>
      </w:pPr>
      <w:r>
        <w:t xml:space="preserve">Als Folgerung aus diesen Vorgaben wird man zunächst einmal bei der Auswahl einer geeigneten ersten Originallektüre </w:t>
      </w:r>
      <w:r w:rsidR="000D2572">
        <w:t>sehr genau überlegen</w:t>
      </w:r>
      <w:r w:rsidR="00F40962">
        <w:t xml:space="preserve"> müssen</w:t>
      </w:r>
      <w:r>
        <w:t xml:space="preserve">, welche Lektüre ohne eine gewisse Anzahl dieser </w:t>
      </w:r>
      <w:r w:rsidR="00D828B1">
        <w:t>Grammatikt</w:t>
      </w:r>
      <w:r>
        <w:t xml:space="preserve">hemen auskommt bzw. mit </w:t>
      </w:r>
      <w:r w:rsidR="009C7F6A">
        <w:t>überschauba</w:t>
      </w:r>
      <w:r>
        <w:t xml:space="preserve">ren </w:t>
      </w:r>
      <w:r w:rsidR="00F40962">
        <w:t>Zusatzangaben und Hilfestellungen</w:t>
      </w:r>
      <w:r>
        <w:t xml:space="preserve"> </w:t>
      </w:r>
      <w:r w:rsidR="00F40962">
        <w:t>zu bewältigen ist.</w:t>
      </w:r>
    </w:p>
    <w:p w:rsidR="000D2572" w:rsidRDefault="00F40962" w:rsidP="000D2572">
      <w:pPr>
        <w:pStyle w:val="Listenabsatz"/>
        <w:numPr>
          <w:ilvl w:val="0"/>
          <w:numId w:val="2"/>
        </w:numPr>
        <w:jc w:val="both"/>
      </w:pPr>
      <w:r>
        <w:t xml:space="preserve">Während der Lektüre wird </w:t>
      </w:r>
      <w:r w:rsidR="003E5002">
        <w:t>dann</w:t>
      </w:r>
      <w:r>
        <w:t xml:space="preserve"> in den ersten Monaten der lektürebegleitende Grammatikunterricht einen größeren Raum einnehmen müssen, will man </w:t>
      </w:r>
      <w:r w:rsidR="00D828B1">
        <w:t>noch nicht behandelte</w:t>
      </w:r>
      <w:r>
        <w:t xml:space="preserve"> Erscheinungen für die </w:t>
      </w:r>
      <w:r w:rsidR="003E5002">
        <w:t>Sprach- und Textarbeit</w:t>
      </w:r>
      <w:r>
        <w:t xml:space="preserve"> bald nutzbar machen. </w:t>
      </w:r>
    </w:p>
    <w:p w:rsidR="00633D2C" w:rsidRDefault="0013633D" w:rsidP="000D2572">
      <w:pPr>
        <w:pStyle w:val="Listenabsatz"/>
        <w:numPr>
          <w:ilvl w:val="0"/>
          <w:numId w:val="2"/>
        </w:numPr>
        <w:jc w:val="both"/>
      </w:pPr>
      <w:r>
        <w:t xml:space="preserve">Aufgrund eines geringeren Zeitrahmens und um die Lektüre nicht als Steinbruch ihrer eigentlichen und vorrangigen </w:t>
      </w:r>
      <w:r w:rsidR="00AA0F76">
        <w:t>Z</w:t>
      </w:r>
      <w:r>
        <w:t xml:space="preserve">iele zu berauben, wird aber auch eine gezielte Auswahl </w:t>
      </w:r>
      <w:r w:rsidR="00335AC4">
        <w:t xml:space="preserve">von </w:t>
      </w:r>
      <w:r w:rsidR="00335AC4">
        <w:lastRenderedPageBreak/>
        <w:t xml:space="preserve">Grammatikerscheinungen </w:t>
      </w:r>
      <w:r>
        <w:t xml:space="preserve">erfolgen müssen. </w:t>
      </w:r>
      <w:r w:rsidR="00AA0F76">
        <w:t xml:space="preserve">Hierbei wird man sich überwiegend auf lektürerelevante Phänomene konzentrieren, die für Übersetzung und Interpretation </w:t>
      </w:r>
      <w:r w:rsidR="00335AC4">
        <w:t>besonders g</w:t>
      </w:r>
      <w:r w:rsidR="003E5002">
        <w:t>ewinnbringend sind – sei es</w:t>
      </w:r>
      <w:r w:rsidR="00AA0F76">
        <w:t xml:space="preserve"> aufgrund ihres quantitativen Vorkommens, </w:t>
      </w:r>
      <w:r w:rsidR="003E5002">
        <w:t>einer durch den Autor wirkungsvoll eingesetzten Gestaltung, der erhöhten Fehleranfälligkeit bei der Übersetzung, ihres Beitrags zur Vervollständigung des Sprachsystems, o.a.</w:t>
      </w:r>
    </w:p>
    <w:p w:rsidR="00633D2C" w:rsidRDefault="000D2572" w:rsidP="000D2572">
      <w:pPr>
        <w:pStyle w:val="Listenabsatz"/>
        <w:numPr>
          <w:ilvl w:val="0"/>
          <w:numId w:val="2"/>
        </w:numPr>
        <w:jc w:val="both"/>
      </w:pPr>
      <w:r>
        <w:t>W</w:t>
      </w:r>
      <w:r w:rsidR="003E5002">
        <w:t xml:space="preserve">ill man </w:t>
      </w:r>
      <w:r w:rsidR="00684149">
        <w:t>die Grammatikarbeit nicht (allzu stark) von der Lektüre trennen, ist es außerdem notwendig, Ge</w:t>
      </w:r>
      <w:r w:rsidR="00552532" w:rsidRPr="002548E6">
        <w:t xml:space="preserve">legenheiten zur Einführung neuer Phänomene konsequent </w:t>
      </w:r>
      <w:r w:rsidR="00684149">
        <w:t xml:space="preserve">zu nutzen. In der Regel bieten Originaltexte </w:t>
      </w:r>
      <w:r>
        <w:t xml:space="preserve">Grammatikerscheinungen nicht annähernd so häufig, </w:t>
      </w:r>
      <w:r w:rsidR="00CA76F6">
        <w:t>umfassend</w:t>
      </w:r>
      <w:r>
        <w:t xml:space="preserve"> </w:t>
      </w:r>
      <w:r w:rsidR="00CA76F6">
        <w:t>und in sinnvollen Abständen umgewälzt wie darauf spezialisierte Lehrbuchtexte und -übungen. Wo aber Eingriffe in den Text unumgänglich sind, weil Passagen das Kompetenzniveau der Schüler um ein Vielfaches übersteigen, könnte</w:t>
      </w:r>
      <w:r w:rsidR="00D828B1">
        <w:t>n sich vielleicht auch Gelegenheiten bieten, neue G</w:t>
      </w:r>
      <w:r w:rsidR="00CA76F6">
        <w:t>rammatikphänomen</w:t>
      </w:r>
      <w:r w:rsidR="00D828B1">
        <w:t>e zu wiederholen oder zu vertiefen.</w:t>
      </w:r>
    </w:p>
    <w:p w:rsidR="000D2572" w:rsidRPr="002548E6" w:rsidRDefault="00D828B1" w:rsidP="00335AC4">
      <w:pPr>
        <w:pStyle w:val="Listenabsatz"/>
        <w:numPr>
          <w:ilvl w:val="0"/>
          <w:numId w:val="2"/>
        </w:numPr>
        <w:jc w:val="both"/>
      </w:pPr>
      <w:r>
        <w:t>Außerdem</w:t>
      </w:r>
      <w:r w:rsidR="00335AC4">
        <w:t xml:space="preserve"> </w:t>
      </w:r>
      <w:r>
        <w:t>stellen</w:t>
      </w:r>
      <w:r w:rsidR="00335AC4">
        <w:t xml:space="preserve"> auch </w:t>
      </w:r>
      <w:r>
        <w:t xml:space="preserve">die </w:t>
      </w:r>
      <w:r w:rsidR="00335AC4">
        <w:t>andere</w:t>
      </w:r>
      <w:r>
        <w:t xml:space="preserve">n </w:t>
      </w:r>
      <w:r w:rsidR="00335AC4">
        <w:t xml:space="preserve">Möglichkeiten zur Texterschließung in diesem Zusammenhang eine </w:t>
      </w:r>
      <w:r>
        <w:t>sehr nützliche</w:t>
      </w:r>
      <w:r w:rsidR="00335AC4">
        <w:t xml:space="preserve"> Entlastung schwieriger Stellen </w:t>
      </w:r>
      <w:r>
        <w:t>und ihrer Übersetzung dar</w:t>
      </w:r>
      <w:r w:rsidR="00335AC4">
        <w:t>.</w:t>
      </w:r>
    </w:p>
    <w:p w:rsidR="002548E6" w:rsidRPr="002548E6" w:rsidRDefault="00335AC4" w:rsidP="002548E6">
      <w:pPr>
        <w:pStyle w:val="Listenabsatz"/>
        <w:numPr>
          <w:ilvl w:val="0"/>
          <w:numId w:val="2"/>
        </w:numPr>
        <w:jc w:val="both"/>
      </w:pPr>
      <w:r>
        <w:t>Schließlich wird man, w</w:t>
      </w:r>
      <w:r w:rsidR="00CA76F6">
        <w:t xml:space="preserve">ie es bislang </w:t>
      </w:r>
      <w:r w:rsidR="00D828B1">
        <w:t>ohnehin</w:t>
      </w:r>
      <w:r w:rsidR="00CA76F6">
        <w:t xml:space="preserve"> schon praktiziert </w:t>
      </w:r>
      <w:r w:rsidR="00D828B1">
        <w:t>wird</w:t>
      </w:r>
      <w:r w:rsidR="00CA76F6">
        <w:t xml:space="preserve">, </w:t>
      </w:r>
      <w:r>
        <w:t xml:space="preserve">die Erschließung des </w:t>
      </w:r>
      <w:r w:rsidR="00552532" w:rsidRPr="002548E6">
        <w:t>Originaltext</w:t>
      </w:r>
      <w:r>
        <w:t>es</w:t>
      </w:r>
      <w:r w:rsidR="00552532" w:rsidRPr="002548E6">
        <w:t xml:space="preserve"> durch </w:t>
      </w:r>
      <w:r w:rsidR="00CA76F6">
        <w:t xml:space="preserve">verschiedene </w:t>
      </w:r>
      <w:r w:rsidR="00D828B1">
        <w:t>Formen der</w:t>
      </w:r>
      <w:r w:rsidR="00CA76F6">
        <w:t xml:space="preserve"> </w:t>
      </w:r>
      <w:r w:rsidR="00552532" w:rsidRPr="002548E6">
        <w:t>Hilfestellung</w:t>
      </w:r>
      <w:r w:rsidR="00CA76F6">
        <w:t xml:space="preserve"> </w:t>
      </w:r>
      <w:r>
        <w:t xml:space="preserve">zu unterstützen suchen. Hier seien nur beispielsweise </w:t>
      </w:r>
      <w:r w:rsidR="00D828B1">
        <w:t>die</w:t>
      </w:r>
      <w:bookmarkStart w:id="0" w:name="_GoBack"/>
      <w:bookmarkEnd w:id="0"/>
      <w:r>
        <w:t xml:space="preserve"> </w:t>
      </w:r>
      <w:proofErr w:type="spellStart"/>
      <w:r>
        <w:t>kolometrische</w:t>
      </w:r>
      <w:proofErr w:type="spellEnd"/>
      <w:r>
        <w:t xml:space="preserve"> Darstellung, </w:t>
      </w:r>
      <w:r w:rsidR="00D828B1">
        <w:t xml:space="preserve">der Apparat mit </w:t>
      </w:r>
      <w:r>
        <w:t>Wortangaben und Hinweise</w:t>
      </w:r>
      <w:r w:rsidR="00D828B1">
        <w:t>n</w:t>
      </w:r>
      <w:r>
        <w:t xml:space="preserve"> zu Formen wie auch Syntax oder </w:t>
      </w:r>
      <w:r w:rsidRPr="00335AC4">
        <w:t>s</w:t>
      </w:r>
      <w:r w:rsidR="00552532" w:rsidRPr="00552532">
        <w:rPr>
          <w:iCs/>
        </w:rPr>
        <w:t>prachlich vereinfachte Passagen</w:t>
      </w:r>
      <w:r w:rsidRPr="00552532">
        <w:rPr>
          <w:iCs/>
        </w:rPr>
        <w:t xml:space="preserve"> genannt.</w:t>
      </w:r>
      <w:r w:rsidR="00552532" w:rsidRPr="00552532">
        <w:rPr>
          <w:iCs/>
        </w:rPr>
        <w:t xml:space="preserve"> </w:t>
      </w:r>
      <w:r>
        <w:t xml:space="preserve">Selbstverständlich muss </w:t>
      </w:r>
      <w:r w:rsidR="00552532">
        <w:t xml:space="preserve">aber </w:t>
      </w:r>
      <w:r>
        <w:t xml:space="preserve">bei all diesen </w:t>
      </w:r>
      <w:r w:rsidR="00552532">
        <w:t xml:space="preserve">Vorgehensweisen bleiben, dass </w:t>
      </w:r>
      <w:r w:rsidR="002548E6" w:rsidRPr="002548E6">
        <w:t>Eingriffe im Verlau</w:t>
      </w:r>
      <w:r w:rsidR="00552532">
        <w:t xml:space="preserve">f der Lektüre </w:t>
      </w:r>
      <w:r w:rsidR="00D828B1">
        <w:t xml:space="preserve">deutlich </w:t>
      </w:r>
      <w:r w:rsidR="00552532">
        <w:t xml:space="preserve">abnehmen. </w:t>
      </w:r>
    </w:p>
    <w:p w:rsidR="00271DAD" w:rsidRPr="00451999" w:rsidRDefault="00271DAD" w:rsidP="00271DAD"/>
    <w:sectPr w:rsidR="00271DAD" w:rsidRPr="004519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411E"/>
    <w:multiLevelType w:val="hybridMultilevel"/>
    <w:tmpl w:val="DE947B32"/>
    <w:lvl w:ilvl="0" w:tplc="BC1893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3859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04E3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4A7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6260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F047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2CAE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104B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220F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E104FC"/>
    <w:multiLevelType w:val="hybridMultilevel"/>
    <w:tmpl w:val="93605E36"/>
    <w:lvl w:ilvl="0" w:tplc="036E0B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90632"/>
    <w:multiLevelType w:val="hybridMultilevel"/>
    <w:tmpl w:val="C7025096"/>
    <w:lvl w:ilvl="0" w:tplc="0E5409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5EF624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62EC2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E0891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9E638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642BD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4688B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80689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A6ABF4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9870259"/>
    <w:multiLevelType w:val="hybridMultilevel"/>
    <w:tmpl w:val="11984864"/>
    <w:lvl w:ilvl="0" w:tplc="CDDAB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537CF"/>
    <w:multiLevelType w:val="hybridMultilevel"/>
    <w:tmpl w:val="746851B6"/>
    <w:lvl w:ilvl="0" w:tplc="22C66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FE687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EE87A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A6612A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9EBCA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987C2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CE4E0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2D46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3ADC6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2076652"/>
    <w:multiLevelType w:val="hybridMultilevel"/>
    <w:tmpl w:val="BD9C854A"/>
    <w:lvl w:ilvl="0" w:tplc="C5389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061F7C"/>
    <w:multiLevelType w:val="hybridMultilevel"/>
    <w:tmpl w:val="25E40468"/>
    <w:lvl w:ilvl="0" w:tplc="87CC43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10BC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AEFC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0CDC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E6AD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1E9D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00F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F406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A07B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99"/>
    <w:rsid w:val="00066AAD"/>
    <w:rsid w:val="000A46A6"/>
    <w:rsid w:val="000D2572"/>
    <w:rsid w:val="0013633D"/>
    <w:rsid w:val="00197826"/>
    <w:rsid w:val="00240289"/>
    <w:rsid w:val="002548E6"/>
    <w:rsid w:val="00260B00"/>
    <w:rsid w:val="00271DAD"/>
    <w:rsid w:val="002A6C0D"/>
    <w:rsid w:val="00335AC4"/>
    <w:rsid w:val="003E5002"/>
    <w:rsid w:val="00403850"/>
    <w:rsid w:val="0041351B"/>
    <w:rsid w:val="00451999"/>
    <w:rsid w:val="00484675"/>
    <w:rsid w:val="004A1CDD"/>
    <w:rsid w:val="004F1C4B"/>
    <w:rsid w:val="00552532"/>
    <w:rsid w:val="00633D2C"/>
    <w:rsid w:val="00684149"/>
    <w:rsid w:val="007C111C"/>
    <w:rsid w:val="00803DB9"/>
    <w:rsid w:val="009C7F6A"/>
    <w:rsid w:val="009D126F"/>
    <w:rsid w:val="00AA0F76"/>
    <w:rsid w:val="00B01C99"/>
    <w:rsid w:val="00B45160"/>
    <w:rsid w:val="00BA3034"/>
    <w:rsid w:val="00CA76F6"/>
    <w:rsid w:val="00D412DE"/>
    <w:rsid w:val="00D534E1"/>
    <w:rsid w:val="00D53E72"/>
    <w:rsid w:val="00D828B1"/>
    <w:rsid w:val="00DF36AE"/>
    <w:rsid w:val="00E9698E"/>
    <w:rsid w:val="00F4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45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66AA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6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45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66AA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6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75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6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5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70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3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52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4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22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57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1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16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SL</cp:lastModifiedBy>
  <cp:revision>13</cp:revision>
  <dcterms:created xsi:type="dcterms:W3CDTF">2017-02-05T20:39:00Z</dcterms:created>
  <dcterms:modified xsi:type="dcterms:W3CDTF">2017-02-08T16:49:00Z</dcterms:modified>
</cp:coreProperties>
</file>