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04C7" w14:textId="61F7BA5D" w:rsidR="006A0F71" w:rsidRDefault="00A07F08" w:rsidP="006A0F71">
      <w:pPr>
        <w:suppressLineNumbers/>
        <w:spacing w:after="0"/>
        <w:rPr>
          <w:rFonts w:cs="Arial"/>
          <w:i/>
          <w:sz w:val="26"/>
          <w:szCs w:val="26"/>
        </w:rPr>
      </w:pPr>
      <w:r>
        <w:rPr>
          <w:rFonts w:cs="Arial"/>
          <w:i/>
          <w:sz w:val="26"/>
          <w:szCs w:val="26"/>
        </w:rPr>
        <w:t>De</w:t>
      </w:r>
      <w:r w:rsidR="00CB4B88" w:rsidRPr="006A0F71">
        <w:rPr>
          <w:rFonts w:cs="Arial"/>
          <w:i/>
          <w:sz w:val="26"/>
          <w:szCs w:val="26"/>
        </w:rPr>
        <w:t xml:space="preserve">r aus Karthago stammende christliche Schriftsteller </w:t>
      </w:r>
      <w:r w:rsidR="005A292E" w:rsidRPr="006A0F71">
        <w:rPr>
          <w:rFonts w:cs="Arial"/>
          <w:b/>
          <w:i/>
          <w:sz w:val="26"/>
          <w:szCs w:val="26"/>
        </w:rPr>
        <w:t xml:space="preserve">Quintus Septimius Florens </w:t>
      </w:r>
      <w:r w:rsidR="005A292E" w:rsidRPr="006A0F71">
        <w:rPr>
          <w:rFonts w:cs="Arial"/>
          <w:b/>
          <w:i/>
          <w:sz w:val="26"/>
          <w:szCs w:val="26"/>
          <w:u w:val="single"/>
        </w:rPr>
        <w:t>Tertullianus</w:t>
      </w:r>
      <w:r w:rsidR="005A292E" w:rsidRPr="006A0F71">
        <w:rPr>
          <w:rFonts w:cs="Arial"/>
          <w:i/>
          <w:sz w:val="26"/>
          <w:szCs w:val="26"/>
        </w:rPr>
        <w:t xml:space="preserve"> (ca. 150-220)</w:t>
      </w:r>
      <w:r w:rsidR="00BE27D8" w:rsidRPr="006A0F71">
        <w:rPr>
          <w:rFonts w:cs="Arial"/>
          <w:i/>
          <w:sz w:val="26"/>
          <w:szCs w:val="26"/>
        </w:rPr>
        <w:t xml:space="preserve"> </w:t>
      </w:r>
      <w:r w:rsidR="005A292E" w:rsidRPr="006A0F71">
        <w:rPr>
          <w:rFonts w:cs="Arial"/>
          <w:i/>
          <w:sz w:val="26"/>
          <w:szCs w:val="26"/>
        </w:rPr>
        <w:t xml:space="preserve">schrieb zahlreiche Werke über den Glauben und das Leben von Christen. </w:t>
      </w:r>
    </w:p>
    <w:p w14:paraId="04D10FCD" w14:textId="77777777" w:rsidR="005A292E" w:rsidRPr="006A0F71" w:rsidRDefault="005A292E" w:rsidP="009520EB">
      <w:pPr>
        <w:suppressLineNumbers/>
        <w:spacing w:after="240"/>
        <w:rPr>
          <w:rFonts w:cs="Arial"/>
          <w:i/>
          <w:sz w:val="26"/>
          <w:szCs w:val="26"/>
        </w:rPr>
      </w:pPr>
      <w:r w:rsidRPr="006A0F71">
        <w:rPr>
          <w:rFonts w:cs="Arial"/>
          <w:i/>
          <w:sz w:val="26"/>
          <w:szCs w:val="26"/>
        </w:rPr>
        <w:t>Eines seiner Werke handelt „de idol</w:t>
      </w:r>
      <w:r w:rsidR="00C24A44" w:rsidRPr="006A0F71">
        <w:rPr>
          <w:rFonts w:cs="Arial"/>
          <w:i/>
          <w:sz w:val="26"/>
          <w:szCs w:val="26"/>
        </w:rPr>
        <w:t>ol</w:t>
      </w:r>
      <w:r w:rsidRPr="006A0F71">
        <w:rPr>
          <w:rFonts w:cs="Arial"/>
          <w:i/>
          <w:sz w:val="26"/>
          <w:szCs w:val="26"/>
        </w:rPr>
        <w:t xml:space="preserve">atria“ – </w:t>
      </w:r>
      <w:r w:rsidR="00C13CA3" w:rsidRPr="006A0F71">
        <w:rPr>
          <w:rFonts w:cs="Arial"/>
          <w:i/>
          <w:sz w:val="26"/>
          <w:szCs w:val="26"/>
        </w:rPr>
        <w:t>von der</w:t>
      </w:r>
      <w:r w:rsidR="00CB4B88" w:rsidRPr="006A0F71">
        <w:rPr>
          <w:rFonts w:cs="Arial"/>
          <w:i/>
          <w:sz w:val="26"/>
          <w:szCs w:val="26"/>
        </w:rPr>
        <w:t xml:space="preserve"> Götzenverehrung</w:t>
      </w:r>
      <w:r w:rsidRPr="006A0F71">
        <w:rPr>
          <w:rFonts w:cs="Arial"/>
          <w:i/>
          <w:sz w:val="26"/>
          <w:szCs w:val="26"/>
        </w:rPr>
        <w:t xml:space="preserve">, d.h. dem </w:t>
      </w:r>
      <w:r w:rsidR="00332180" w:rsidRPr="006A0F71">
        <w:rPr>
          <w:rFonts w:cs="Arial"/>
          <w:i/>
          <w:sz w:val="26"/>
          <w:szCs w:val="26"/>
        </w:rPr>
        <w:t xml:space="preserve">– aus christlicher Sicht – </w:t>
      </w:r>
      <w:r w:rsidRPr="006A0F71">
        <w:rPr>
          <w:rFonts w:cs="Arial"/>
          <w:i/>
          <w:sz w:val="26"/>
          <w:szCs w:val="26"/>
        </w:rPr>
        <w:t xml:space="preserve">heidnischen Glauben im römischen Reich.  </w:t>
      </w:r>
    </w:p>
    <w:p w14:paraId="6357E637" w14:textId="77777777" w:rsidR="00C94F9B" w:rsidRDefault="00C24A44" w:rsidP="00281678">
      <w:pPr>
        <w:spacing w:after="0" w:line="360" w:lineRule="auto"/>
        <w:rPr>
          <w:szCs w:val="24"/>
          <w:lang w:val="en-US"/>
        </w:rPr>
      </w:pPr>
      <w:r w:rsidRPr="00370EA1">
        <w:rPr>
          <w:szCs w:val="24"/>
          <w:lang w:val="en-US"/>
        </w:rPr>
        <w:t xml:space="preserve">Quaerendum est etiam de ludi magistris, sed et ceteris professoribus litterarum. Immo non dubitandum affines illos esse multimodae idololatriae. </w:t>
      </w:r>
    </w:p>
    <w:p w14:paraId="3E27B568" w14:textId="77777777" w:rsidR="00C24A44" w:rsidRPr="00370EA1" w:rsidRDefault="00C24A44" w:rsidP="00281678">
      <w:pPr>
        <w:spacing w:after="0" w:line="360" w:lineRule="auto"/>
        <w:rPr>
          <w:szCs w:val="24"/>
          <w:lang w:val="en-US"/>
        </w:rPr>
      </w:pPr>
      <w:r w:rsidRPr="00370EA1">
        <w:rPr>
          <w:szCs w:val="24"/>
          <w:lang w:val="en-US"/>
        </w:rPr>
        <w:t>Primum quibus necesse est deos nationum praedicare, nomina, genealogias, fabulas, ornamenta honorifica quaeque eorum enuntiare, tum sollemnia festaque eorundem observare, ut quibus vectigalia sua supputent.</w:t>
      </w:r>
    </w:p>
    <w:p w14:paraId="14672010" w14:textId="77777777" w:rsidR="00897932" w:rsidRDefault="0064304D" w:rsidP="004F0967">
      <w:pPr>
        <w:spacing w:after="0" w:line="360" w:lineRule="auto"/>
        <w:rPr>
          <w:szCs w:val="24"/>
          <w:lang w:val="en-US"/>
        </w:rPr>
      </w:pPr>
      <w:r w:rsidRPr="00370EA1">
        <w:rPr>
          <w:szCs w:val="24"/>
          <w:lang w:val="en-US"/>
        </w:rPr>
        <w:t>S</w:t>
      </w:r>
      <w:r w:rsidR="005A292E" w:rsidRPr="00370EA1">
        <w:rPr>
          <w:szCs w:val="24"/>
          <w:lang w:val="en-US"/>
        </w:rPr>
        <w:t>i docere litteras dei ser</w:t>
      </w:r>
      <w:r w:rsidRPr="00370EA1">
        <w:rPr>
          <w:szCs w:val="24"/>
          <w:lang w:val="en-US"/>
        </w:rPr>
        <w:t>v</w:t>
      </w:r>
      <w:r w:rsidR="005A292E" w:rsidRPr="00370EA1">
        <w:rPr>
          <w:szCs w:val="24"/>
          <w:lang w:val="en-US"/>
        </w:rPr>
        <w:t xml:space="preserve">is non licet, etiam nec discere licebit, et, quomodo quis institueretur ad prudentiam interim humanam </w:t>
      </w:r>
      <w:r w:rsidR="009C3CD8" w:rsidRPr="00370EA1">
        <w:rPr>
          <w:szCs w:val="24"/>
          <w:lang w:val="en-US"/>
        </w:rPr>
        <w:t>v</w:t>
      </w:r>
      <w:r w:rsidR="005A292E" w:rsidRPr="00370EA1">
        <w:rPr>
          <w:szCs w:val="24"/>
          <w:lang w:val="en-US"/>
        </w:rPr>
        <w:t xml:space="preserve">el ad quemcumque sensum </w:t>
      </w:r>
      <w:r w:rsidRPr="00370EA1">
        <w:rPr>
          <w:szCs w:val="24"/>
          <w:lang w:val="en-US"/>
        </w:rPr>
        <w:t>v</w:t>
      </w:r>
      <w:r w:rsidR="005A292E" w:rsidRPr="00370EA1">
        <w:rPr>
          <w:szCs w:val="24"/>
          <w:lang w:val="en-US"/>
        </w:rPr>
        <w:t xml:space="preserve">el actum, cum instrumentum sit ad omnem </w:t>
      </w:r>
      <w:r w:rsidRPr="00370EA1">
        <w:rPr>
          <w:szCs w:val="24"/>
          <w:lang w:val="en-US"/>
        </w:rPr>
        <w:t>v</w:t>
      </w:r>
      <w:r w:rsidR="005A292E" w:rsidRPr="00370EA1">
        <w:rPr>
          <w:szCs w:val="24"/>
          <w:lang w:val="en-US"/>
        </w:rPr>
        <w:t>itam litteratura? Quomodo repudiamus saecularia studia, sine quibus di</w:t>
      </w:r>
      <w:r w:rsidRPr="00370EA1">
        <w:rPr>
          <w:szCs w:val="24"/>
          <w:lang w:val="en-US"/>
        </w:rPr>
        <w:t>v</w:t>
      </w:r>
      <w:r w:rsidR="005A292E" w:rsidRPr="00370EA1">
        <w:rPr>
          <w:szCs w:val="24"/>
          <w:lang w:val="en-US"/>
        </w:rPr>
        <w:t xml:space="preserve">ina non possunt? </w:t>
      </w:r>
    </w:p>
    <w:p w14:paraId="5345D204" w14:textId="77777777" w:rsidR="004F0967" w:rsidRPr="00370EA1" w:rsidRDefault="005A292E" w:rsidP="004F0967">
      <w:pPr>
        <w:spacing w:after="0" w:line="360" w:lineRule="auto"/>
        <w:rPr>
          <w:szCs w:val="24"/>
          <w:lang w:val="en-US"/>
        </w:rPr>
      </w:pPr>
      <w:r w:rsidRPr="00370EA1">
        <w:rPr>
          <w:szCs w:val="24"/>
          <w:lang w:val="en-US"/>
        </w:rPr>
        <w:t>Videamus igitur necessitatem litteratoriae eruditionis</w:t>
      </w:r>
      <w:r w:rsidR="0045342A" w:rsidRPr="00370EA1">
        <w:rPr>
          <w:szCs w:val="24"/>
          <w:lang w:val="en-US"/>
        </w:rPr>
        <w:t xml:space="preserve">. </w:t>
      </w:r>
    </w:p>
    <w:p w14:paraId="3896B2E1" w14:textId="77777777" w:rsidR="00074691" w:rsidRPr="00370EA1" w:rsidRDefault="005A292E" w:rsidP="000B3431">
      <w:pPr>
        <w:spacing w:after="0" w:line="360" w:lineRule="auto"/>
        <w:rPr>
          <w:szCs w:val="24"/>
          <w:lang w:val="en-US"/>
        </w:rPr>
      </w:pPr>
      <w:r w:rsidRPr="00370EA1">
        <w:rPr>
          <w:szCs w:val="24"/>
          <w:lang w:val="en-US"/>
        </w:rPr>
        <w:t>Fideles magis discere quam docere litteras capit; di</w:t>
      </w:r>
      <w:r w:rsidR="0064304D" w:rsidRPr="00370EA1">
        <w:rPr>
          <w:szCs w:val="24"/>
          <w:lang w:val="en-US"/>
        </w:rPr>
        <w:t>v</w:t>
      </w:r>
      <w:r w:rsidRPr="00370EA1">
        <w:rPr>
          <w:szCs w:val="24"/>
          <w:lang w:val="en-US"/>
        </w:rPr>
        <w:t xml:space="preserve">ersa est enim ratio discendi et docendi.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491"/>
        <w:gridCol w:w="4596"/>
      </w:tblGrid>
      <w:tr w:rsidR="00CF2869" w:rsidRPr="00370EA1" w14:paraId="50F2F6FA" w14:textId="77777777" w:rsidTr="00E77CE2">
        <w:tc>
          <w:tcPr>
            <w:tcW w:w="392" w:type="dxa"/>
          </w:tcPr>
          <w:p w14:paraId="085929E6" w14:textId="77777777" w:rsidR="00897932" w:rsidRDefault="00897932" w:rsidP="00074691">
            <w:pPr>
              <w:spacing w:line="360" w:lineRule="auto"/>
              <w:rPr>
                <w:szCs w:val="24"/>
                <w:lang w:val="en-US"/>
              </w:rPr>
            </w:pPr>
          </w:p>
          <w:p w14:paraId="5FA90CF5" w14:textId="77777777" w:rsidR="00897932" w:rsidRDefault="00897932" w:rsidP="00074691">
            <w:pPr>
              <w:spacing w:line="360" w:lineRule="auto"/>
              <w:rPr>
                <w:szCs w:val="24"/>
                <w:lang w:val="en-US"/>
              </w:rPr>
            </w:pPr>
          </w:p>
          <w:p w14:paraId="7362F9E1" w14:textId="77777777" w:rsidR="00897932" w:rsidRDefault="00897932" w:rsidP="00074691">
            <w:pPr>
              <w:spacing w:line="360" w:lineRule="auto"/>
              <w:rPr>
                <w:szCs w:val="24"/>
                <w:lang w:val="en-US"/>
              </w:rPr>
            </w:pPr>
            <w:r>
              <w:rPr>
                <w:szCs w:val="24"/>
                <w:lang w:val="en-US"/>
              </w:rPr>
              <w:t>15</w:t>
            </w:r>
          </w:p>
          <w:p w14:paraId="371915A4" w14:textId="77777777" w:rsidR="00897932" w:rsidRDefault="00897932" w:rsidP="00074691">
            <w:pPr>
              <w:spacing w:line="360" w:lineRule="auto"/>
              <w:rPr>
                <w:szCs w:val="24"/>
                <w:lang w:val="en-US"/>
              </w:rPr>
            </w:pPr>
          </w:p>
          <w:p w14:paraId="585FF371" w14:textId="77777777" w:rsidR="00897932" w:rsidRDefault="00897932" w:rsidP="00074691">
            <w:pPr>
              <w:spacing w:line="360" w:lineRule="auto"/>
              <w:rPr>
                <w:szCs w:val="24"/>
                <w:lang w:val="en-US"/>
              </w:rPr>
            </w:pPr>
          </w:p>
          <w:p w14:paraId="740B1F19" w14:textId="77777777" w:rsidR="00897932" w:rsidRDefault="00897932" w:rsidP="00074691">
            <w:pPr>
              <w:spacing w:line="360" w:lineRule="auto"/>
              <w:rPr>
                <w:szCs w:val="24"/>
                <w:lang w:val="en-US"/>
              </w:rPr>
            </w:pPr>
          </w:p>
          <w:p w14:paraId="69B4F53F" w14:textId="77777777" w:rsidR="00897932" w:rsidRDefault="00897932" w:rsidP="00074691">
            <w:pPr>
              <w:spacing w:line="360" w:lineRule="auto"/>
              <w:rPr>
                <w:szCs w:val="24"/>
                <w:lang w:val="en-US"/>
              </w:rPr>
            </w:pPr>
          </w:p>
          <w:p w14:paraId="5E3152C4" w14:textId="77777777" w:rsidR="00897932" w:rsidRDefault="00897932" w:rsidP="00074691">
            <w:pPr>
              <w:spacing w:line="360" w:lineRule="auto"/>
              <w:rPr>
                <w:szCs w:val="24"/>
                <w:lang w:val="en-US"/>
              </w:rPr>
            </w:pPr>
            <w:r>
              <w:rPr>
                <w:szCs w:val="24"/>
                <w:lang w:val="en-US"/>
              </w:rPr>
              <w:t>20</w:t>
            </w:r>
          </w:p>
          <w:p w14:paraId="25412416" w14:textId="77777777" w:rsidR="00897932" w:rsidRDefault="00897932" w:rsidP="00074691">
            <w:pPr>
              <w:spacing w:line="360" w:lineRule="auto"/>
              <w:rPr>
                <w:szCs w:val="24"/>
                <w:lang w:val="en-US"/>
              </w:rPr>
            </w:pPr>
          </w:p>
          <w:p w14:paraId="4F1235A2" w14:textId="77777777" w:rsidR="00897932" w:rsidRDefault="00897932" w:rsidP="00074691">
            <w:pPr>
              <w:spacing w:line="360" w:lineRule="auto"/>
              <w:rPr>
                <w:szCs w:val="24"/>
                <w:lang w:val="en-US"/>
              </w:rPr>
            </w:pPr>
          </w:p>
          <w:p w14:paraId="08A0794C" w14:textId="77777777" w:rsidR="00897932" w:rsidRDefault="00897932" w:rsidP="00074691">
            <w:pPr>
              <w:spacing w:line="360" w:lineRule="auto"/>
              <w:rPr>
                <w:szCs w:val="24"/>
                <w:lang w:val="en-US"/>
              </w:rPr>
            </w:pPr>
          </w:p>
          <w:p w14:paraId="0F5A0C3D" w14:textId="77777777" w:rsidR="00897932" w:rsidRDefault="00897932" w:rsidP="00074691">
            <w:pPr>
              <w:spacing w:line="360" w:lineRule="auto"/>
              <w:rPr>
                <w:szCs w:val="24"/>
                <w:lang w:val="en-US"/>
              </w:rPr>
            </w:pPr>
          </w:p>
          <w:p w14:paraId="0C943969" w14:textId="77777777" w:rsidR="00897932" w:rsidRDefault="00897932" w:rsidP="00074691">
            <w:pPr>
              <w:spacing w:line="360" w:lineRule="auto"/>
              <w:rPr>
                <w:szCs w:val="24"/>
                <w:lang w:val="en-US"/>
              </w:rPr>
            </w:pPr>
            <w:r>
              <w:rPr>
                <w:szCs w:val="24"/>
                <w:lang w:val="en-US"/>
              </w:rPr>
              <w:t>25</w:t>
            </w:r>
          </w:p>
          <w:p w14:paraId="2D6B1BEE" w14:textId="77777777" w:rsidR="00897932" w:rsidRDefault="00897932" w:rsidP="00074691">
            <w:pPr>
              <w:spacing w:line="360" w:lineRule="auto"/>
              <w:rPr>
                <w:szCs w:val="24"/>
                <w:lang w:val="en-US"/>
              </w:rPr>
            </w:pPr>
          </w:p>
          <w:p w14:paraId="011B4871" w14:textId="77777777" w:rsidR="00897932" w:rsidRDefault="00897932" w:rsidP="00074691">
            <w:pPr>
              <w:spacing w:line="360" w:lineRule="auto"/>
              <w:rPr>
                <w:szCs w:val="24"/>
                <w:lang w:val="en-US"/>
              </w:rPr>
            </w:pPr>
          </w:p>
          <w:p w14:paraId="0EB6B566" w14:textId="77777777" w:rsidR="00897932" w:rsidRDefault="00897932" w:rsidP="00074691">
            <w:pPr>
              <w:spacing w:line="360" w:lineRule="auto"/>
              <w:rPr>
                <w:szCs w:val="24"/>
                <w:lang w:val="en-US"/>
              </w:rPr>
            </w:pPr>
          </w:p>
          <w:p w14:paraId="1259D330" w14:textId="77777777" w:rsidR="00897932" w:rsidRDefault="00897932" w:rsidP="00074691">
            <w:pPr>
              <w:spacing w:line="360" w:lineRule="auto"/>
              <w:rPr>
                <w:szCs w:val="24"/>
                <w:lang w:val="en-US"/>
              </w:rPr>
            </w:pPr>
          </w:p>
          <w:p w14:paraId="1B07A235" w14:textId="77777777" w:rsidR="00897932" w:rsidRPr="00370EA1" w:rsidRDefault="00897932" w:rsidP="00074691">
            <w:pPr>
              <w:spacing w:line="360" w:lineRule="auto"/>
              <w:rPr>
                <w:szCs w:val="24"/>
                <w:lang w:val="en-US"/>
              </w:rPr>
            </w:pPr>
            <w:r>
              <w:rPr>
                <w:szCs w:val="24"/>
                <w:lang w:val="en-US"/>
              </w:rPr>
              <w:t>30</w:t>
            </w:r>
          </w:p>
        </w:tc>
        <w:tc>
          <w:tcPr>
            <w:tcW w:w="4536" w:type="dxa"/>
          </w:tcPr>
          <w:p w14:paraId="0EE68B35" w14:textId="77777777" w:rsidR="00897932" w:rsidRPr="00370EA1" w:rsidRDefault="00897932" w:rsidP="00074691">
            <w:pPr>
              <w:spacing w:line="360" w:lineRule="auto"/>
              <w:rPr>
                <w:szCs w:val="24"/>
                <w:lang w:val="en-US"/>
              </w:rPr>
            </w:pPr>
            <w:r w:rsidRPr="00370EA1">
              <w:rPr>
                <w:szCs w:val="24"/>
                <w:lang w:val="en-US"/>
              </w:rPr>
              <w:t xml:space="preserve">Si fidelis litteras doceat, insertas idolorum praedicationes sine dubio, dum docet, commendat, dum tradit, affirmat, dum commemorat, testimonium dicit. Deos ipsos hoc nomine obsignat, cum lex prohibeat, ut diximus, deos pronuntiari et nomen hoc in vano conlocari. Hinc prima diabolo fides aedificatur ab initiis eruditionis. Quaere, an idololatrian committat, qui de idolis catechizat. At cum fidelis haec discit, si iam sapit, quid sit, neque recipit neque admittit, multo magis, si dudum sapit. Aut ubi coeperit sapere, prius sapiat oportet, quod prius didicit, id est de deo et fide. Proinde illa respuet nec recipiet et erit tam tutus, quam qui sciens venenum ab ignaro accipit nec bibit. </w:t>
            </w:r>
          </w:p>
        </w:tc>
        <w:tc>
          <w:tcPr>
            <w:tcW w:w="4642" w:type="dxa"/>
          </w:tcPr>
          <w:p w14:paraId="3D773813" w14:textId="77777777" w:rsidR="00E602D1" w:rsidRDefault="003140A0" w:rsidP="008C7D2A">
            <w:pPr>
              <w:spacing w:line="360" w:lineRule="auto"/>
              <w:rPr>
                <w:sz w:val="20"/>
                <w:szCs w:val="20"/>
                <w:lang w:val="en-US"/>
              </w:rPr>
            </w:pPr>
            <w:r w:rsidRPr="00B72CA1">
              <w:rPr>
                <w:sz w:val="20"/>
                <w:szCs w:val="20"/>
                <w:lang w:val="en-US"/>
              </w:rPr>
              <w:t xml:space="preserve">Wenn ein </w:t>
            </w:r>
            <w:r w:rsidR="006331EA" w:rsidRPr="00B72CA1">
              <w:rPr>
                <w:sz w:val="20"/>
                <w:szCs w:val="20"/>
                <w:lang w:val="en-US"/>
              </w:rPr>
              <w:t>g</w:t>
            </w:r>
            <w:r w:rsidRPr="00B72CA1">
              <w:rPr>
                <w:sz w:val="20"/>
                <w:szCs w:val="20"/>
                <w:lang w:val="en-US"/>
              </w:rPr>
              <w:t xml:space="preserve">läubiger </w:t>
            </w:r>
            <w:r w:rsidR="006331EA" w:rsidRPr="00B72CA1">
              <w:rPr>
                <w:sz w:val="20"/>
                <w:szCs w:val="20"/>
                <w:lang w:val="en-US"/>
              </w:rPr>
              <w:t xml:space="preserve">Christ </w:t>
            </w:r>
            <w:r w:rsidRPr="00B72CA1">
              <w:rPr>
                <w:sz w:val="20"/>
                <w:szCs w:val="20"/>
                <w:lang w:val="en-US"/>
              </w:rPr>
              <w:t xml:space="preserve">Literatur lehrt, </w:t>
            </w:r>
            <w:r w:rsidR="006331EA" w:rsidRPr="00B72CA1">
              <w:rPr>
                <w:sz w:val="20"/>
                <w:szCs w:val="20"/>
                <w:lang w:val="en-US"/>
              </w:rPr>
              <w:t xml:space="preserve">empfiehlt er </w:t>
            </w:r>
            <w:r w:rsidRPr="00B72CA1">
              <w:rPr>
                <w:sz w:val="20"/>
                <w:szCs w:val="20"/>
                <w:lang w:val="en-US"/>
              </w:rPr>
              <w:t xml:space="preserve">ohne Zweifel die </w:t>
            </w:r>
            <w:r w:rsidR="006331EA" w:rsidRPr="00B72CA1">
              <w:rPr>
                <w:sz w:val="20"/>
                <w:szCs w:val="20"/>
                <w:lang w:val="en-US"/>
              </w:rPr>
              <w:t xml:space="preserve">darin </w:t>
            </w:r>
            <w:r w:rsidRPr="00B72CA1">
              <w:rPr>
                <w:sz w:val="20"/>
                <w:szCs w:val="20"/>
                <w:lang w:val="en-US"/>
              </w:rPr>
              <w:t>vorkommenden Lob</w:t>
            </w:r>
            <w:r w:rsidR="00D31486" w:rsidRPr="00B72CA1">
              <w:rPr>
                <w:sz w:val="20"/>
                <w:szCs w:val="20"/>
                <w:lang w:val="en-US"/>
              </w:rPr>
              <w:t>preisunge</w:t>
            </w:r>
            <w:r w:rsidRPr="00B72CA1">
              <w:rPr>
                <w:sz w:val="20"/>
                <w:szCs w:val="20"/>
                <w:lang w:val="en-US"/>
              </w:rPr>
              <w:t>n der Götzen</w:t>
            </w:r>
            <w:r w:rsidR="00072DEC" w:rsidRPr="00B72CA1">
              <w:rPr>
                <w:sz w:val="20"/>
                <w:szCs w:val="20"/>
                <w:lang w:val="en-US"/>
              </w:rPr>
              <w:t xml:space="preserve">, </w:t>
            </w:r>
            <w:r w:rsidRPr="00B72CA1">
              <w:rPr>
                <w:sz w:val="20"/>
                <w:szCs w:val="20"/>
                <w:lang w:val="en-US"/>
              </w:rPr>
              <w:t>w</w:t>
            </w:r>
            <w:r w:rsidR="00EC0A42">
              <w:rPr>
                <w:sz w:val="20"/>
                <w:szCs w:val="20"/>
                <w:lang w:val="en-US"/>
              </w:rPr>
              <w:t>ährend</w:t>
            </w:r>
            <w:r w:rsidRPr="00B72CA1">
              <w:rPr>
                <w:sz w:val="20"/>
                <w:szCs w:val="20"/>
                <w:lang w:val="en-US"/>
              </w:rPr>
              <w:t xml:space="preserve"> er sie </w:t>
            </w:r>
            <w:r w:rsidR="006331EA" w:rsidRPr="00B72CA1">
              <w:rPr>
                <w:sz w:val="20"/>
                <w:szCs w:val="20"/>
                <w:lang w:val="en-US"/>
              </w:rPr>
              <w:t>lehrt; w</w:t>
            </w:r>
            <w:r w:rsidR="00CE5321">
              <w:rPr>
                <w:sz w:val="20"/>
                <w:szCs w:val="20"/>
                <w:lang w:val="en-US"/>
              </w:rPr>
              <w:t>ährend</w:t>
            </w:r>
            <w:r w:rsidR="006331EA" w:rsidRPr="00B72CA1">
              <w:rPr>
                <w:sz w:val="20"/>
                <w:szCs w:val="20"/>
                <w:lang w:val="en-US"/>
              </w:rPr>
              <w:t xml:space="preserve"> er sie weitergibt</w:t>
            </w:r>
            <w:r w:rsidRPr="00B72CA1">
              <w:rPr>
                <w:sz w:val="20"/>
                <w:szCs w:val="20"/>
                <w:lang w:val="en-US"/>
              </w:rPr>
              <w:t xml:space="preserve">, bestätigt er sie; </w:t>
            </w:r>
            <w:r w:rsidR="006331EA" w:rsidRPr="00B72CA1">
              <w:rPr>
                <w:sz w:val="20"/>
                <w:szCs w:val="20"/>
                <w:lang w:val="en-US"/>
              </w:rPr>
              <w:t>w</w:t>
            </w:r>
            <w:r w:rsidR="00CE5321">
              <w:rPr>
                <w:sz w:val="20"/>
                <w:szCs w:val="20"/>
                <w:lang w:val="en-US"/>
              </w:rPr>
              <w:t>ährend</w:t>
            </w:r>
            <w:r w:rsidR="006331EA" w:rsidRPr="00B72CA1">
              <w:rPr>
                <w:sz w:val="20"/>
                <w:szCs w:val="20"/>
                <w:lang w:val="en-US"/>
              </w:rPr>
              <w:t xml:space="preserve"> </w:t>
            </w:r>
            <w:r w:rsidRPr="00B72CA1">
              <w:rPr>
                <w:sz w:val="20"/>
                <w:szCs w:val="20"/>
                <w:lang w:val="en-US"/>
              </w:rPr>
              <w:t xml:space="preserve">er sie erwähnt, gibt er Zeugnis für sie ab. Die Götter tituliert er mit diesem Namen, </w:t>
            </w:r>
            <w:r w:rsidR="001A4A04">
              <w:rPr>
                <w:sz w:val="20"/>
                <w:szCs w:val="20"/>
                <w:lang w:val="en-US"/>
              </w:rPr>
              <w:t>obwohl</w:t>
            </w:r>
            <w:r w:rsidRPr="00B72CA1">
              <w:rPr>
                <w:sz w:val="20"/>
                <w:szCs w:val="20"/>
                <w:lang w:val="en-US"/>
              </w:rPr>
              <w:t xml:space="preserve">, wie wir gesagt haben, </w:t>
            </w:r>
            <w:r w:rsidR="00905244" w:rsidRPr="00B72CA1">
              <w:rPr>
                <w:sz w:val="20"/>
                <w:szCs w:val="20"/>
                <w:lang w:val="en-US"/>
              </w:rPr>
              <w:t xml:space="preserve">das Gesetz </w:t>
            </w:r>
            <w:r w:rsidRPr="00B72CA1">
              <w:rPr>
                <w:sz w:val="20"/>
                <w:szCs w:val="20"/>
                <w:lang w:val="en-US"/>
              </w:rPr>
              <w:t xml:space="preserve">verbietet, sie Götter zu nennen und diesen Namen </w:t>
            </w:r>
            <w:r w:rsidR="000D3F1E" w:rsidRPr="00B72CA1">
              <w:rPr>
                <w:sz w:val="20"/>
                <w:szCs w:val="20"/>
                <w:lang w:val="en-US"/>
              </w:rPr>
              <w:t>respektlos z</w:t>
            </w:r>
            <w:r w:rsidRPr="00B72CA1">
              <w:rPr>
                <w:sz w:val="20"/>
                <w:szCs w:val="20"/>
                <w:lang w:val="en-US"/>
              </w:rPr>
              <w:t xml:space="preserve">u gebrauchen. </w:t>
            </w:r>
            <w:r w:rsidR="00E514FB" w:rsidRPr="00B72CA1">
              <w:rPr>
                <w:sz w:val="20"/>
                <w:szCs w:val="20"/>
                <w:lang w:val="en-US"/>
              </w:rPr>
              <w:t xml:space="preserve">Daher </w:t>
            </w:r>
            <w:r w:rsidRPr="00B72CA1">
              <w:rPr>
                <w:sz w:val="20"/>
                <w:szCs w:val="20"/>
                <w:lang w:val="en-US"/>
              </w:rPr>
              <w:t xml:space="preserve">wird der </w:t>
            </w:r>
            <w:r w:rsidR="00E602D1">
              <w:rPr>
                <w:sz w:val="20"/>
                <w:szCs w:val="20"/>
                <w:lang w:val="en-US"/>
              </w:rPr>
              <w:t xml:space="preserve">Anfang des </w:t>
            </w:r>
            <w:r w:rsidRPr="00B72CA1">
              <w:rPr>
                <w:sz w:val="20"/>
                <w:szCs w:val="20"/>
                <w:lang w:val="en-US"/>
              </w:rPr>
              <w:t>Glauben</w:t>
            </w:r>
            <w:r w:rsidR="00886352">
              <w:rPr>
                <w:sz w:val="20"/>
                <w:szCs w:val="20"/>
                <w:lang w:val="en-US"/>
              </w:rPr>
              <w:t>s</w:t>
            </w:r>
            <w:r w:rsidRPr="00B72CA1">
              <w:rPr>
                <w:sz w:val="20"/>
                <w:szCs w:val="20"/>
                <w:lang w:val="en-US"/>
              </w:rPr>
              <w:t xml:space="preserve"> an den Teufel mit de</w:t>
            </w:r>
            <w:r w:rsidR="00E514FB" w:rsidRPr="00B72CA1">
              <w:rPr>
                <w:sz w:val="20"/>
                <w:szCs w:val="20"/>
                <w:lang w:val="en-US"/>
              </w:rPr>
              <w:t>m Beginn d</w:t>
            </w:r>
            <w:r w:rsidRPr="00B72CA1">
              <w:rPr>
                <w:sz w:val="20"/>
                <w:szCs w:val="20"/>
                <w:lang w:val="en-US"/>
              </w:rPr>
              <w:t xml:space="preserve">es Unterrichts gelegt. </w:t>
            </w:r>
          </w:p>
          <w:p w14:paraId="21AEFB7F" w14:textId="77777777" w:rsidR="00897932" w:rsidRPr="00B72CA1" w:rsidRDefault="00962BE6" w:rsidP="008C7D2A">
            <w:pPr>
              <w:spacing w:line="360" w:lineRule="auto"/>
              <w:rPr>
                <w:sz w:val="20"/>
                <w:szCs w:val="20"/>
                <w:lang w:val="en-US"/>
              </w:rPr>
            </w:pPr>
            <w:r w:rsidRPr="00B72CA1">
              <w:rPr>
                <w:sz w:val="20"/>
                <w:szCs w:val="20"/>
                <w:lang w:val="en-US"/>
              </w:rPr>
              <w:t>F</w:t>
            </w:r>
            <w:r w:rsidR="003140A0" w:rsidRPr="00B72CA1">
              <w:rPr>
                <w:sz w:val="20"/>
                <w:szCs w:val="20"/>
                <w:lang w:val="en-US"/>
              </w:rPr>
              <w:t>rage, ob der</w:t>
            </w:r>
            <w:r w:rsidR="00E602D1">
              <w:rPr>
                <w:sz w:val="20"/>
                <w:szCs w:val="20"/>
                <w:lang w:val="en-US"/>
              </w:rPr>
              <w:t>jenige</w:t>
            </w:r>
            <w:r w:rsidR="003140A0" w:rsidRPr="00B72CA1">
              <w:rPr>
                <w:sz w:val="20"/>
                <w:szCs w:val="20"/>
                <w:lang w:val="en-US"/>
              </w:rPr>
              <w:t xml:space="preserve"> </w:t>
            </w:r>
            <w:r w:rsidR="00CF2869" w:rsidRPr="00B72CA1">
              <w:rPr>
                <w:sz w:val="20"/>
                <w:szCs w:val="20"/>
                <w:lang w:val="en-US"/>
              </w:rPr>
              <w:t xml:space="preserve">Götzenverehrung </w:t>
            </w:r>
            <w:r w:rsidR="003140A0" w:rsidRPr="00B72CA1">
              <w:rPr>
                <w:sz w:val="20"/>
                <w:szCs w:val="20"/>
                <w:lang w:val="en-US"/>
              </w:rPr>
              <w:t xml:space="preserve">begeht, der über Götzen </w:t>
            </w:r>
            <w:r w:rsidR="008C7D2A">
              <w:rPr>
                <w:sz w:val="20"/>
                <w:szCs w:val="20"/>
                <w:lang w:val="en-US"/>
              </w:rPr>
              <w:t xml:space="preserve">predigt. </w:t>
            </w:r>
            <w:r w:rsidR="00F3543C" w:rsidRPr="00B72CA1">
              <w:rPr>
                <w:sz w:val="20"/>
                <w:szCs w:val="20"/>
                <w:lang w:val="en-US"/>
              </w:rPr>
              <w:t xml:space="preserve">Aber </w:t>
            </w:r>
            <w:r w:rsidR="003140A0" w:rsidRPr="00B72CA1">
              <w:rPr>
                <w:sz w:val="20"/>
                <w:szCs w:val="20"/>
                <w:lang w:val="en-US"/>
              </w:rPr>
              <w:t xml:space="preserve">wenn der </w:t>
            </w:r>
            <w:r w:rsidR="00F3543C" w:rsidRPr="00B72CA1">
              <w:rPr>
                <w:sz w:val="20"/>
                <w:szCs w:val="20"/>
                <w:lang w:val="en-US"/>
              </w:rPr>
              <w:t>g</w:t>
            </w:r>
            <w:r w:rsidR="003140A0" w:rsidRPr="00B72CA1">
              <w:rPr>
                <w:sz w:val="20"/>
                <w:szCs w:val="20"/>
                <w:lang w:val="en-US"/>
              </w:rPr>
              <w:t>läubige</w:t>
            </w:r>
            <w:r w:rsidR="00F3543C" w:rsidRPr="00B72CA1">
              <w:rPr>
                <w:sz w:val="20"/>
                <w:szCs w:val="20"/>
                <w:lang w:val="en-US"/>
              </w:rPr>
              <w:t xml:space="preserve"> Christ dies</w:t>
            </w:r>
            <w:r w:rsidR="003140A0" w:rsidRPr="00B72CA1">
              <w:rPr>
                <w:sz w:val="20"/>
                <w:szCs w:val="20"/>
                <w:lang w:val="en-US"/>
              </w:rPr>
              <w:t xml:space="preserve"> lernt, so nimmt er, wenn er schon weiß, was es </w:t>
            </w:r>
            <w:r w:rsidR="00F3543C" w:rsidRPr="00B72CA1">
              <w:rPr>
                <w:sz w:val="20"/>
                <w:szCs w:val="20"/>
                <w:lang w:val="en-US"/>
              </w:rPr>
              <w:t>ist</w:t>
            </w:r>
            <w:r w:rsidR="003140A0" w:rsidRPr="00B72CA1">
              <w:rPr>
                <w:sz w:val="20"/>
                <w:szCs w:val="20"/>
                <w:lang w:val="en-US"/>
              </w:rPr>
              <w:t xml:space="preserve">, </w:t>
            </w:r>
            <w:r w:rsidR="00E602D1">
              <w:rPr>
                <w:sz w:val="20"/>
                <w:szCs w:val="20"/>
                <w:lang w:val="en-US"/>
              </w:rPr>
              <w:t>es weder an noch lässt er es  z</w:t>
            </w:r>
            <w:r w:rsidR="003140A0" w:rsidRPr="00B72CA1">
              <w:rPr>
                <w:sz w:val="20"/>
                <w:szCs w:val="20"/>
                <w:lang w:val="en-US"/>
              </w:rPr>
              <w:t xml:space="preserve">u, und noch </w:t>
            </w:r>
            <w:r w:rsidR="00D01A26" w:rsidRPr="00B72CA1">
              <w:rPr>
                <w:sz w:val="20"/>
                <w:szCs w:val="20"/>
                <w:lang w:val="en-US"/>
              </w:rPr>
              <w:t xml:space="preserve">viel </w:t>
            </w:r>
            <w:r w:rsidR="003140A0" w:rsidRPr="00B72CA1">
              <w:rPr>
                <w:sz w:val="20"/>
                <w:szCs w:val="20"/>
                <w:lang w:val="en-US"/>
              </w:rPr>
              <w:t xml:space="preserve">mehr, wenn er </w:t>
            </w:r>
            <w:r w:rsidR="00BC01D3">
              <w:rPr>
                <w:sz w:val="20"/>
                <w:szCs w:val="20"/>
                <w:lang w:val="en-US"/>
              </w:rPr>
              <w:t xml:space="preserve">längst </w:t>
            </w:r>
            <w:r w:rsidR="003140A0" w:rsidRPr="00B72CA1">
              <w:rPr>
                <w:sz w:val="20"/>
                <w:szCs w:val="20"/>
                <w:lang w:val="en-US"/>
              </w:rPr>
              <w:t xml:space="preserve">weiß. Oder, wenn er </w:t>
            </w:r>
            <w:r w:rsidR="004807C3">
              <w:rPr>
                <w:sz w:val="20"/>
                <w:szCs w:val="20"/>
                <w:lang w:val="en-US"/>
              </w:rPr>
              <w:t>begonnen</w:t>
            </w:r>
            <w:r w:rsidR="003140A0" w:rsidRPr="00B72CA1">
              <w:rPr>
                <w:sz w:val="20"/>
                <w:szCs w:val="20"/>
                <w:lang w:val="en-US"/>
              </w:rPr>
              <w:t xml:space="preserve"> hat</w:t>
            </w:r>
            <w:r w:rsidR="00C81D26">
              <w:rPr>
                <w:sz w:val="20"/>
                <w:szCs w:val="20"/>
                <w:lang w:val="en-US"/>
              </w:rPr>
              <w:t xml:space="preserve"> etwas zu wissen</w:t>
            </w:r>
            <w:r w:rsidR="003140A0" w:rsidRPr="00B72CA1">
              <w:rPr>
                <w:sz w:val="20"/>
                <w:szCs w:val="20"/>
                <w:lang w:val="en-US"/>
              </w:rPr>
              <w:t>, mu</w:t>
            </w:r>
            <w:r w:rsidR="00C81D26">
              <w:rPr>
                <w:sz w:val="20"/>
                <w:szCs w:val="20"/>
                <w:lang w:val="en-US"/>
              </w:rPr>
              <w:t>ss</w:t>
            </w:r>
            <w:r w:rsidR="003140A0" w:rsidRPr="00B72CA1">
              <w:rPr>
                <w:sz w:val="20"/>
                <w:szCs w:val="20"/>
                <w:lang w:val="en-US"/>
              </w:rPr>
              <w:t xml:space="preserve"> </w:t>
            </w:r>
            <w:r w:rsidR="00C81D26">
              <w:rPr>
                <w:sz w:val="20"/>
                <w:szCs w:val="20"/>
                <w:lang w:val="en-US"/>
              </w:rPr>
              <w:t xml:space="preserve">er </w:t>
            </w:r>
            <w:r w:rsidR="003140A0" w:rsidRPr="00B72CA1">
              <w:rPr>
                <w:sz w:val="20"/>
                <w:szCs w:val="20"/>
                <w:lang w:val="en-US"/>
              </w:rPr>
              <w:t xml:space="preserve">das, was er zuerst gelernt hat, </w:t>
            </w:r>
            <w:r w:rsidR="00C81D26">
              <w:rPr>
                <w:sz w:val="20"/>
                <w:szCs w:val="20"/>
                <w:lang w:val="en-US"/>
              </w:rPr>
              <w:t>eher wissen</w:t>
            </w:r>
            <w:r w:rsidR="003140A0" w:rsidRPr="00B72CA1">
              <w:rPr>
                <w:sz w:val="20"/>
                <w:szCs w:val="20"/>
                <w:lang w:val="en-US"/>
              </w:rPr>
              <w:t xml:space="preserve">, d, h. Gott und der Glaube. </w:t>
            </w:r>
            <w:r w:rsidR="00DF538A">
              <w:rPr>
                <w:sz w:val="20"/>
                <w:szCs w:val="20"/>
                <w:lang w:val="en-US"/>
              </w:rPr>
              <w:t xml:space="preserve">Daher </w:t>
            </w:r>
            <w:r w:rsidR="003140A0" w:rsidRPr="00B72CA1">
              <w:rPr>
                <w:sz w:val="20"/>
                <w:szCs w:val="20"/>
                <w:lang w:val="en-US"/>
              </w:rPr>
              <w:t>wird er jene Dinge verabscheuen</w:t>
            </w:r>
            <w:r w:rsidR="00DF538A">
              <w:rPr>
                <w:sz w:val="20"/>
                <w:szCs w:val="20"/>
                <w:lang w:val="en-US"/>
              </w:rPr>
              <w:t xml:space="preserve"> und </w:t>
            </w:r>
            <w:r w:rsidR="003140A0" w:rsidRPr="00B72CA1">
              <w:rPr>
                <w:sz w:val="20"/>
                <w:szCs w:val="20"/>
                <w:lang w:val="en-US"/>
              </w:rPr>
              <w:t xml:space="preserve">sie nicht annehmen und </w:t>
            </w:r>
            <w:r w:rsidR="00DF538A">
              <w:rPr>
                <w:sz w:val="20"/>
                <w:szCs w:val="20"/>
                <w:lang w:val="en-US"/>
              </w:rPr>
              <w:t>s</w:t>
            </w:r>
            <w:r w:rsidR="003140A0" w:rsidRPr="00B72CA1">
              <w:rPr>
                <w:sz w:val="20"/>
                <w:szCs w:val="20"/>
                <w:lang w:val="en-US"/>
              </w:rPr>
              <w:t xml:space="preserve">o sicher sein, wie einer, der wissentlich Gift von einem Unwissenden annimmt, es </w:t>
            </w:r>
            <w:r w:rsidR="00DF538A">
              <w:rPr>
                <w:sz w:val="20"/>
                <w:szCs w:val="20"/>
                <w:lang w:val="en-US"/>
              </w:rPr>
              <w:t>aber nicht trinkt.</w:t>
            </w:r>
            <w:r w:rsidR="003140A0" w:rsidRPr="00B72CA1">
              <w:rPr>
                <w:sz w:val="20"/>
                <w:szCs w:val="20"/>
                <w:lang w:val="en-US"/>
              </w:rPr>
              <w:t xml:space="preserve">  </w:t>
            </w:r>
          </w:p>
        </w:tc>
      </w:tr>
    </w:tbl>
    <w:p w14:paraId="13F9A55F" w14:textId="77777777" w:rsidR="004C62F6" w:rsidRPr="00684E3A" w:rsidRDefault="004C62F6" w:rsidP="008E07B7">
      <w:pPr>
        <w:pStyle w:val="Listenabsatz"/>
        <w:numPr>
          <w:ilvl w:val="0"/>
          <w:numId w:val="4"/>
        </w:numPr>
        <w:suppressLineNumbers/>
        <w:spacing w:after="0" w:line="360" w:lineRule="auto"/>
        <w:rPr>
          <w:rFonts w:ascii="Arial Narrow" w:hAnsi="Arial Narrow"/>
          <w:sz w:val="32"/>
          <w:szCs w:val="32"/>
        </w:rPr>
      </w:pPr>
      <w:r w:rsidRPr="00684E3A">
        <w:rPr>
          <w:rFonts w:ascii="Arial Narrow" w:hAnsi="Arial Narrow"/>
          <w:sz w:val="32"/>
          <w:szCs w:val="32"/>
        </w:rPr>
        <w:lastRenderedPageBreak/>
        <w:t>Die Ausführungen Tertullians beziehen sich</w:t>
      </w:r>
    </w:p>
    <w:p w14:paraId="6B49EB1A" w14:textId="77777777" w:rsidR="004C62F6" w:rsidRDefault="004C62F6"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nur auf Grundschullehrer</w:t>
      </w:r>
      <w:r>
        <w:rPr>
          <w:rFonts w:ascii="Arial Narrow" w:hAnsi="Arial Narrow"/>
          <w:sz w:val="32"/>
          <w:szCs w:val="32"/>
        </w:rPr>
        <w:tab/>
      </w:r>
      <w:r>
        <w:rPr>
          <w:rFonts w:ascii="Arial Narrow" w:hAnsi="Arial Narrow"/>
          <w:sz w:val="32"/>
          <w:szCs w:val="32"/>
        </w:rPr>
        <w:sym w:font="Wingdings" w:char="F071"/>
      </w:r>
      <w:r>
        <w:rPr>
          <w:rFonts w:ascii="Arial Narrow" w:hAnsi="Arial Narrow"/>
          <w:sz w:val="32"/>
          <w:szCs w:val="32"/>
        </w:rPr>
        <w:t xml:space="preserve"> auf alle Lehrer und Lehrerinnen</w:t>
      </w:r>
    </w:p>
    <w:p w14:paraId="0DCD2A20" w14:textId="77777777" w:rsidR="004C62F6" w:rsidRDefault="004C62F6" w:rsidP="00775FA3">
      <w:pPr>
        <w:suppressLineNumbers/>
        <w:spacing w:after="24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auf Grundschullehrer sowie auf Lehrer, die Literatur unterrichten</w:t>
      </w:r>
      <w:r w:rsidR="007C0751">
        <w:rPr>
          <w:rFonts w:ascii="Arial Narrow" w:hAnsi="Arial Narrow"/>
          <w:sz w:val="32"/>
          <w:szCs w:val="32"/>
        </w:rPr>
        <w:t>.</w:t>
      </w:r>
    </w:p>
    <w:p w14:paraId="12D5D3D6" w14:textId="77777777" w:rsidR="00CA5452" w:rsidRPr="00684E3A" w:rsidRDefault="00CA5452" w:rsidP="008E07B7">
      <w:pPr>
        <w:pStyle w:val="Listenabsatz"/>
        <w:numPr>
          <w:ilvl w:val="0"/>
          <w:numId w:val="4"/>
        </w:numPr>
        <w:suppressLineNumbers/>
        <w:spacing w:after="0" w:line="360" w:lineRule="auto"/>
        <w:rPr>
          <w:rFonts w:ascii="Arial Narrow" w:hAnsi="Arial Narrow"/>
          <w:sz w:val="32"/>
          <w:szCs w:val="32"/>
        </w:rPr>
      </w:pPr>
      <w:r w:rsidRPr="00684E3A">
        <w:rPr>
          <w:rFonts w:ascii="Arial Narrow" w:hAnsi="Arial Narrow"/>
          <w:sz w:val="32"/>
          <w:szCs w:val="32"/>
        </w:rPr>
        <w:t xml:space="preserve">Tertullian begründet seinen Vorwurf der Götzenverehrung </w:t>
      </w:r>
      <w:r w:rsidR="00790448">
        <w:rPr>
          <w:rFonts w:ascii="Arial Narrow" w:hAnsi="Arial Narrow"/>
          <w:sz w:val="32"/>
          <w:szCs w:val="32"/>
        </w:rPr>
        <w:t xml:space="preserve">(Z. </w:t>
      </w:r>
      <w:r w:rsidR="00BB23D2">
        <w:rPr>
          <w:rFonts w:ascii="Arial Narrow" w:hAnsi="Arial Narrow"/>
          <w:sz w:val="32"/>
          <w:szCs w:val="32"/>
        </w:rPr>
        <w:t>2</w:t>
      </w:r>
      <w:r w:rsidR="00790448">
        <w:rPr>
          <w:rFonts w:ascii="Arial Narrow" w:hAnsi="Arial Narrow"/>
          <w:sz w:val="32"/>
          <w:szCs w:val="32"/>
        </w:rPr>
        <w:t>-</w:t>
      </w:r>
      <w:r w:rsidR="00C94F9B">
        <w:rPr>
          <w:rFonts w:ascii="Arial Narrow" w:hAnsi="Arial Narrow"/>
          <w:sz w:val="32"/>
          <w:szCs w:val="32"/>
        </w:rPr>
        <w:t>5</w:t>
      </w:r>
      <w:r w:rsidR="00790448">
        <w:rPr>
          <w:rFonts w:ascii="Arial Narrow" w:hAnsi="Arial Narrow"/>
          <w:sz w:val="32"/>
          <w:szCs w:val="32"/>
        </w:rPr>
        <w:t xml:space="preserve">) </w:t>
      </w:r>
      <w:r w:rsidRPr="00684E3A">
        <w:rPr>
          <w:rFonts w:ascii="Arial Narrow" w:hAnsi="Arial Narrow"/>
          <w:sz w:val="32"/>
          <w:szCs w:val="32"/>
        </w:rPr>
        <w:t xml:space="preserve">mit </w:t>
      </w:r>
    </w:p>
    <w:p w14:paraId="302C73C9" w14:textId="77777777" w:rsidR="00CA5452" w:rsidRDefault="00CA5452" w:rsidP="00775FA3">
      <w:pPr>
        <w:suppressLineNumbers/>
        <w:spacing w:after="24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zwei </w:t>
      </w:r>
      <w:r>
        <w:rPr>
          <w:rFonts w:ascii="Arial Narrow" w:hAnsi="Arial Narrow"/>
          <w:sz w:val="32"/>
          <w:szCs w:val="32"/>
        </w:rPr>
        <w:sym w:font="Wingdings" w:char="F071"/>
      </w:r>
      <w:r>
        <w:rPr>
          <w:rFonts w:ascii="Arial Narrow" w:hAnsi="Arial Narrow"/>
          <w:sz w:val="32"/>
          <w:szCs w:val="32"/>
        </w:rPr>
        <w:t xml:space="preserve"> drei </w:t>
      </w:r>
      <w:r>
        <w:rPr>
          <w:rFonts w:ascii="Arial Narrow" w:hAnsi="Arial Narrow"/>
          <w:sz w:val="32"/>
          <w:szCs w:val="32"/>
        </w:rPr>
        <w:sym w:font="Wingdings" w:char="F071"/>
      </w:r>
      <w:r>
        <w:rPr>
          <w:rFonts w:ascii="Arial Narrow" w:hAnsi="Arial Narrow"/>
          <w:sz w:val="32"/>
          <w:szCs w:val="32"/>
        </w:rPr>
        <w:t xml:space="preserve"> vier Argumenten, wie an folgenden Konnektoren zu erkennen ist: ……………………………………………………………………</w:t>
      </w:r>
      <w:r w:rsidR="00C94F9B">
        <w:rPr>
          <w:rFonts w:ascii="Arial Narrow" w:hAnsi="Arial Narrow"/>
          <w:sz w:val="32"/>
          <w:szCs w:val="32"/>
        </w:rPr>
        <w:t>………………….</w:t>
      </w:r>
    </w:p>
    <w:p w14:paraId="3462C4F4" w14:textId="77777777" w:rsidR="00CA5452" w:rsidRPr="00684E3A" w:rsidRDefault="00CA5452" w:rsidP="008E07B7">
      <w:pPr>
        <w:pStyle w:val="Listenabsatz"/>
        <w:numPr>
          <w:ilvl w:val="0"/>
          <w:numId w:val="4"/>
        </w:numPr>
        <w:suppressLineNumbers/>
        <w:spacing w:after="0" w:line="360" w:lineRule="auto"/>
        <w:rPr>
          <w:rFonts w:ascii="Arial Narrow" w:hAnsi="Arial Narrow"/>
          <w:sz w:val="32"/>
          <w:szCs w:val="32"/>
        </w:rPr>
      </w:pPr>
      <w:r w:rsidRPr="00684E3A">
        <w:rPr>
          <w:rFonts w:ascii="Arial Narrow" w:hAnsi="Arial Narrow"/>
          <w:sz w:val="32"/>
          <w:szCs w:val="32"/>
        </w:rPr>
        <w:t>Kreuze</w:t>
      </w:r>
      <w:r w:rsidR="009C2C51" w:rsidRPr="00684E3A">
        <w:rPr>
          <w:rFonts w:ascii="Arial Narrow" w:hAnsi="Arial Narrow"/>
          <w:sz w:val="32"/>
          <w:szCs w:val="32"/>
        </w:rPr>
        <w:t>n Sie</w:t>
      </w:r>
      <w:r w:rsidRPr="00684E3A">
        <w:rPr>
          <w:rFonts w:ascii="Arial Narrow" w:hAnsi="Arial Narrow"/>
          <w:sz w:val="32"/>
          <w:szCs w:val="32"/>
        </w:rPr>
        <w:t xml:space="preserve"> an, welche </w:t>
      </w:r>
      <w:r w:rsidR="00215896">
        <w:rPr>
          <w:rFonts w:ascii="Arial Narrow" w:hAnsi="Arial Narrow"/>
          <w:sz w:val="32"/>
          <w:szCs w:val="32"/>
        </w:rPr>
        <w:t xml:space="preserve">konkreten </w:t>
      </w:r>
      <w:r w:rsidRPr="00684E3A">
        <w:rPr>
          <w:rFonts w:ascii="Arial Narrow" w:hAnsi="Arial Narrow"/>
          <w:sz w:val="32"/>
          <w:szCs w:val="32"/>
        </w:rPr>
        <w:t>Vorwürfe Tertullian den Lehrern macht:</w:t>
      </w:r>
    </w:p>
    <w:p w14:paraId="4C2AA3CD" w14:textId="6A358176" w:rsidR="00CA5452" w:rsidRDefault="00CA5452"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Lehrer wollen </w:t>
      </w:r>
      <w:r w:rsidR="00F626D8">
        <w:rPr>
          <w:rFonts w:ascii="Arial Narrow" w:hAnsi="Arial Narrow"/>
          <w:sz w:val="32"/>
          <w:szCs w:val="32"/>
        </w:rPr>
        <w:t xml:space="preserve">mit </w:t>
      </w:r>
      <w:r>
        <w:rPr>
          <w:rFonts w:ascii="Arial Narrow" w:hAnsi="Arial Narrow"/>
          <w:sz w:val="32"/>
          <w:szCs w:val="32"/>
        </w:rPr>
        <w:t xml:space="preserve">Göttergeschichten </w:t>
      </w:r>
      <w:r w:rsidR="00F626D8">
        <w:rPr>
          <w:rFonts w:ascii="Arial Narrow" w:hAnsi="Arial Narrow"/>
          <w:sz w:val="32"/>
          <w:szCs w:val="32"/>
        </w:rPr>
        <w:t>ihre Schüler unterhalten</w:t>
      </w:r>
      <w:r w:rsidR="00601E3A">
        <w:rPr>
          <w:rFonts w:ascii="Arial Narrow" w:hAnsi="Arial Narrow"/>
          <w:sz w:val="32"/>
          <w:szCs w:val="32"/>
        </w:rPr>
        <w:t>.</w:t>
      </w:r>
    </w:p>
    <w:p w14:paraId="1ADABD2D" w14:textId="21B48062" w:rsidR="00F626D8" w:rsidRDefault="00F626D8"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Lehrer haben die Aufgabe, Götter und Mythen im Unterricht zu behandeln</w:t>
      </w:r>
      <w:r w:rsidR="00601E3A">
        <w:rPr>
          <w:rFonts w:ascii="Arial Narrow" w:hAnsi="Arial Narrow"/>
          <w:sz w:val="32"/>
          <w:szCs w:val="32"/>
        </w:rPr>
        <w:t>.</w:t>
      </w:r>
    </w:p>
    <w:p w14:paraId="549828AF" w14:textId="77777777" w:rsidR="00B47160" w:rsidRDefault="00B47160"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Lehrer haben die Aufgabe, Götter, ihre Mythen und ihre Ehrungen im </w:t>
      </w:r>
    </w:p>
    <w:p w14:paraId="6C5DAA66" w14:textId="24ADF463" w:rsidR="00B47160" w:rsidRDefault="00B47160" w:rsidP="008E07B7">
      <w:pPr>
        <w:suppressLineNumbers/>
        <w:spacing w:after="0" w:line="360" w:lineRule="auto"/>
        <w:rPr>
          <w:rFonts w:ascii="Arial Narrow" w:hAnsi="Arial Narrow"/>
          <w:sz w:val="32"/>
          <w:szCs w:val="32"/>
        </w:rPr>
      </w:pPr>
      <w:r>
        <w:rPr>
          <w:rFonts w:ascii="Arial Narrow" w:hAnsi="Arial Narrow"/>
          <w:sz w:val="32"/>
          <w:szCs w:val="32"/>
        </w:rPr>
        <w:t xml:space="preserve">     Unterricht zu behandeln</w:t>
      </w:r>
      <w:r w:rsidR="00601E3A">
        <w:rPr>
          <w:rFonts w:ascii="Arial Narrow" w:hAnsi="Arial Narrow"/>
          <w:sz w:val="32"/>
          <w:szCs w:val="32"/>
        </w:rPr>
        <w:t>.</w:t>
      </w:r>
    </w:p>
    <w:p w14:paraId="605EE950" w14:textId="40854A10" w:rsidR="00B47160" w:rsidRDefault="00B47160"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Lehrer müssen bei Festen zu Ehren der Götter verschiedene Dienste leisten</w:t>
      </w:r>
      <w:r w:rsidR="00601E3A">
        <w:rPr>
          <w:rFonts w:ascii="Arial Narrow" w:hAnsi="Arial Narrow"/>
          <w:sz w:val="32"/>
          <w:szCs w:val="32"/>
        </w:rPr>
        <w:t>.</w:t>
      </w:r>
    </w:p>
    <w:p w14:paraId="34298F62" w14:textId="54772852" w:rsidR="00F626D8" w:rsidRDefault="00F626D8" w:rsidP="00775FA3">
      <w:pPr>
        <w:suppressLineNumbers/>
        <w:spacing w:after="24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Lehrer müssen die Feiertage und die Feste zu Ehren der Götter einhalten</w:t>
      </w:r>
      <w:r w:rsidR="00601E3A">
        <w:rPr>
          <w:rFonts w:ascii="Arial Narrow" w:hAnsi="Arial Narrow"/>
          <w:sz w:val="32"/>
          <w:szCs w:val="32"/>
        </w:rPr>
        <w:t>.</w:t>
      </w:r>
      <w:bookmarkStart w:id="0" w:name="_GoBack"/>
      <w:bookmarkEnd w:id="0"/>
    </w:p>
    <w:p w14:paraId="396E7CF7" w14:textId="77777777" w:rsidR="00157AA9" w:rsidRPr="00684E3A" w:rsidRDefault="00157AA9" w:rsidP="008E07B7">
      <w:pPr>
        <w:pStyle w:val="Listenabsatz"/>
        <w:numPr>
          <w:ilvl w:val="0"/>
          <w:numId w:val="4"/>
        </w:numPr>
        <w:suppressLineNumbers/>
        <w:spacing w:after="0" w:line="360" w:lineRule="auto"/>
        <w:rPr>
          <w:rFonts w:ascii="Arial Narrow" w:hAnsi="Arial Narrow"/>
          <w:sz w:val="32"/>
          <w:szCs w:val="32"/>
        </w:rPr>
      </w:pPr>
      <w:r w:rsidRPr="00684E3A">
        <w:rPr>
          <w:rFonts w:ascii="Arial Narrow" w:hAnsi="Arial Narrow"/>
          <w:sz w:val="32"/>
          <w:szCs w:val="32"/>
        </w:rPr>
        <w:t xml:space="preserve">Tertullian </w:t>
      </w:r>
      <w:r w:rsidR="006F1490" w:rsidRPr="00684E3A">
        <w:rPr>
          <w:rFonts w:ascii="Arial Narrow" w:hAnsi="Arial Narrow"/>
          <w:sz w:val="32"/>
          <w:szCs w:val="32"/>
        </w:rPr>
        <w:t xml:space="preserve">verwendet </w:t>
      </w:r>
      <w:r w:rsidRPr="00684E3A">
        <w:rPr>
          <w:rFonts w:ascii="Arial Narrow" w:hAnsi="Arial Narrow"/>
          <w:sz w:val="32"/>
          <w:szCs w:val="32"/>
        </w:rPr>
        <w:t xml:space="preserve">hier </w:t>
      </w:r>
      <w:r w:rsidR="006F1490" w:rsidRPr="00684E3A">
        <w:rPr>
          <w:rFonts w:ascii="Arial Narrow" w:hAnsi="Arial Narrow"/>
          <w:sz w:val="32"/>
          <w:szCs w:val="32"/>
        </w:rPr>
        <w:t xml:space="preserve">für </w:t>
      </w:r>
      <w:r w:rsidRPr="00684E3A">
        <w:rPr>
          <w:rFonts w:ascii="Arial Narrow" w:hAnsi="Arial Narrow"/>
          <w:sz w:val="32"/>
          <w:szCs w:val="32"/>
        </w:rPr>
        <w:t>Christen folgende lateinische</w:t>
      </w:r>
      <w:r w:rsidR="006F1490" w:rsidRPr="00684E3A">
        <w:rPr>
          <w:rFonts w:ascii="Arial Narrow" w:hAnsi="Arial Narrow"/>
          <w:sz w:val="32"/>
          <w:szCs w:val="32"/>
        </w:rPr>
        <w:t xml:space="preserve"> </w:t>
      </w:r>
      <w:r w:rsidRPr="00684E3A">
        <w:rPr>
          <w:rFonts w:ascii="Arial Narrow" w:hAnsi="Arial Narrow"/>
          <w:sz w:val="32"/>
          <w:szCs w:val="32"/>
        </w:rPr>
        <w:t>Worte:</w:t>
      </w:r>
    </w:p>
    <w:p w14:paraId="5EBCEBD1" w14:textId="77777777" w:rsidR="00157AA9" w:rsidRDefault="00157AA9" w:rsidP="00775FA3">
      <w:pPr>
        <w:suppressLineNumbers/>
        <w:spacing w:after="240" w:line="360" w:lineRule="auto"/>
        <w:rPr>
          <w:rFonts w:ascii="Arial Narrow" w:hAnsi="Arial Narrow"/>
          <w:sz w:val="32"/>
          <w:szCs w:val="32"/>
        </w:rPr>
      </w:pPr>
      <w:r>
        <w:rPr>
          <w:rFonts w:ascii="Arial Narrow" w:hAnsi="Arial Narrow"/>
          <w:sz w:val="32"/>
          <w:szCs w:val="32"/>
        </w:rPr>
        <w:t>……………………………………………</w:t>
      </w:r>
      <w:r w:rsidR="001423F7">
        <w:rPr>
          <w:rFonts w:ascii="Arial Narrow" w:hAnsi="Arial Narrow"/>
          <w:sz w:val="32"/>
          <w:szCs w:val="32"/>
        </w:rPr>
        <w:t xml:space="preserve">(Z. </w:t>
      </w:r>
      <w:r w:rsidR="00C94F9B">
        <w:rPr>
          <w:rFonts w:ascii="Arial Narrow" w:hAnsi="Arial Narrow"/>
          <w:sz w:val="32"/>
          <w:szCs w:val="32"/>
        </w:rPr>
        <w:t>6</w:t>
      </w:r>
      <w:r w:rsidR="001423F7">
        <w:rPr>
          <w:rFonts w:ascii="Arial Narrow" w:hAnsi="Arial Narrow"/>
          <w:sz w:val="32"/>
          <w:szCs w:val="32"/>
        </w:rPr>
        <w:t xml:space="preserve">) </w:t>
      </w:r>
      <w:r w:rsidR="00645111">
        <w:rPr>
          <w:rFonts w:ascii="Arial Narrow" w:hAnsi="Arial Narrow"/>
          <w:sz w:val="32"/>
          <w:szCs w:val="32"/>
        </w:rPr>
        <w:t xml:space="preserve">und </w:t>
      </w:r>
      <w:r>
        <w:rPr>
          <w:rFonts w:ascii="Arial Narrow" w:hAnsi="Arial Narrow"/>
          <w:sz w:val="32"/>
          <w:szCs w:val="32"/>
        </w:rPr>
        <w:t>……………………………</w:t>
      </w:r>
      <w:r w:rsidR="001423F7">
        <w:rPr>
          <w:rFonts w:ascii="Arial Narrow" w:hAnsi="Arial Narrow"/>
          <w:sz w:val="32"/>
          <w:szCs w:val="32"/>
        </w:rPr>
        <w:t>(Z. 1</w:t>
      </w:r>
      <w:r w:rsidR="00C94F9B">
        <w:rPr>
          <w:rFonts w:ascii="Arial Narrow" w:hAnsi="Arial Narrow"/>
          <w:sz w:val="32"/>
          <w:szCs w:val="32"/>
        </w:rPr>
        <w:t>1</w:t>
      </w:r>
      <w:r w:rsidR="001423F7">
        <w:rPr>
          <w:rFonts w:ascii="Arial Narrow" w:hAnsi="Arial Narrow"/>
          <w:sz w:val="32"/>
          <w:szCs w:val="32"/>
        </w:rPr>
        <w:t>)</w:t>
      </w:r>
    </w:p>
    <w:p w14:paraId="10AF93D6" w14:textId="77777777" w:rsidR="001C5DED" w:rsidRPr="00684E3A" w:rsidRDefault="00BB23D2" w:rsidP="008E07B7">
      <w:pPr>
        <w:pStyle w:val="Listenabsatz"/>
        <w:numPr>
          <w:ilvl w:val="0"/>
          <w:numId w:val="4"/>
        </w:numPr>
        <w:suppressLineNumbers/>
        <w:spacing w:after="0" w:line="360" w:lineRule="auto"/>
        <w:rPr>
          <w:rFonts w:ascii="Arial Narrow" w:hAnsi="Arial Narrow"/>
          <w:sz w:val="32"/>
          <w:szCs w:val="32"/>
        </w:rPr>
      </w:pPr>
      <w:r>
        <w:rPr>
          <w:rFonts w:ascii="Arial Narrow" w:hAnsi="Arial Narrow"/>
          <w:sz w:val="32"/>
          <w:szCs w:val="32"/>
        </w:rPr>
        <w:t>In den Zeilen 1</w:t>
      </w:r>
      <w:r w:rsidR="00117902">
        <w:rPr>
          <w:rFonts w:ascii="Arial Narrow" w:hAnsi="Arial Narrow"/>
          <w:sz w:val="32"/>
          <w:szCs w:val="32"/>
        </w:rPr>
        <w:t>1</w:t>
      </w:r>
      <w:r>
        <w:rPr>
          <w:rFonts w:ascii="Arial Narrow" w:hAnsi="Arial Narrow"/>
          <w:sz w:val="32"/>
          <w:szCs w:val="32"/>
        </w:rPr>
        <w:t xml:space="preserve">f. stellt </w:t>
      </w:r>
      <w:r w:rsidR="001C5DED" w:rsidRPr="00684E3A">
        <w:rPr>
          <w:rFonts w:ascii="Arial Narrow" w:hAnsi="Arial Narrow"/>
          <w:sz w:val="32"/>
          <w:szCs w:val="32"/>
        </w:rPr>
        <w:t>Tertullian die These auf, dass</w:t>
      </w:r>
    </w:p>
    <w:p w14:paraId="3AC7233A" w14:textId="77777777" w:rsidR="0015608A" w:rsidRDefault="006512BB"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w:t>
      </w:r>
      <w:r w:rsidR="0015608A">
        <w:rPr>
          <w:rFonts w:ascii="Arial Narrow" w:hAnsi="Arial Narrow"/>
          <w:sz w:val="32"/>
          <w:szCs w:val="32"/>
        </w:rPr>
        <w:t>Christen (heidnische) Literatur lernen, aber nicht lehren dürfen</w:t>
      </w:r>
      <w:r w:rsidR="00C302C6">
        <w:rPr>
          <w:rFonts w:ascii="Arial Narrow" w:hAnsi="Arial Narrow"/>
          <w:sz w:val="32"/>
          <w:szCs w:val="32"/>
        </w:rPr>
        <w:t>.</w:t>
      </w:r>
    </w:p>
    <w:p w14:paraId="049F418A" w14:textId="77777777" w:rsidR="0015608A" w:rsidRDefault="006512BB" w:rsidP="008E07B7">
      <w:pPr>
        <w:suppressLineNumbers/>
        <w:spacing w:after="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w:t>
      </w:r>
      <w:r w:rsidR="0015608A">
        <w:rPr>
          <w:rFonts w:ascii="Arial Narrow" w:hAnsi="Arial Narrow"/>
          <w:sz w:val="32"/>
          <w:szCs w:val="32"/>
        </w:rPr>
        <w:t>Christen (heidnische) Literatur weder lernen noch lehren dürfen</w:t>
      </w:r>
      <w:r w:rsidR="00C302C6">
        <w:rPr>
          <w:rFonts w:ascii="Arial Narrow" w:hAnsi="Arial Narrow"/>
          <w:sz w:val="32"/>
          <w:szCs w:val="32"/>
        </w:rPr>
        <w:t>.</w:t>
      </w:r>
    </w:p>
    <w:p w14:paraId="6CA1F9F6" w14:textId="77777777" w:rsidR="00AF46C0" w:rsidRDefault="006512BB" w:rsidP="00775FA3">
      <w:pPr>
        <w:suppressLineNumbers/>
        <w:spacing w:after="240" w:line="360" w:lineRule="auto"/>
        <w:rPr>
          <w:rFonts w:ascii="Arial Narrow" w:hAnsi="Arial Narrow"/>
          <w:sz w:val="32"/>
          <w:szCs w:val="32"/>
        </w:rPr>
      </w:pPr>
      <w:r>
        <w:rPr>
          <w:rFonts w:ascii="Arial Narrow" w:hAnsi="Arial Narrow"/>
          <w:sz w:val="32"/>
          <w:szCs w:val="32"/>
        </w:rPr>
        <w:sym w:font="Wingdings" w:char="F071"/>
      </w:r>
      <w:r>
        <w:rPr>
          <w:rFonts w:ascii="Arial Narrow" w:hAnsi="Arial Narrow"/>
          <w:sz w:val="32"/>
          <w:szCs w:val="32"/>
        </w:rPr>
        <w:t xml:space="preserve"> </w:t>
      </w:r>
      <w:r w:rsidR="0015608A">
        <w:rPr>
          <w:rFonts w:ascii="Arial Narrow" w:hAnsi="Arial Narrow"/>
          <w:sz w:val="32"/>
          <w:szCs w:val="32"/>
        </w:rPr>
        <w:t>Christen (heidnische) Literatur sowohl lernen als auch lehren dürfen</w:t>
      </w:r>
      <w:r w:rsidR="00C302C6">
        <w:rPr>
          <w:rFonts w:ascii="Arial Narrow" w:hAnsi="Arial Narrow"/>
          <w:sz w:val="32"/>
          <w:szCs w:val="32"/>
        </w:rPr>
        <w:t>.</w:t>
      </w:r>
    </w:p>
    <w:p w14:paraId="1CFF405D" w14:textId="77777777" w:rsidR="004E4914" w:rsidRDefault="004E4914" w:rsidP="00775FA3">
      <w:pPr>
        <w:pStyle w:val="Listenabsatz"/>
        <w:numPr>
          <w:ilvl w:val="0"/>
          <w:numId w:val="4"/>
        </w:numPr>
        <w:suppressLineNumbers/>
        <w:spacing w:after="240" w:line="360" w:lineRule="auto"/>
        <w:ind w:left="714" w:hanging="357"/>
        <w:contextualSpacing w:val="0"/>
        <w:rPr>
          <w:rFonts w:ascii="Arial Narrow" w:hAnsi="Arial Narrow"/>
          <w:sz w:val="32"/>
          <w:szCs w:val="32"/>
        </w:rPr>
      </w:pPr>
      <w:r>
        <w:rPr>
          <w:rFonts w:ascii="Arial Narrow" w:hAnsi="Arial Narrow"/>
          <w:sz w:val="32"/>
          <w:szCs w:val="32"/>
        </w:rPr>
        <w:t xml:space="preserve">Fassen Sie den letzten (zweisprachigen) Textabschnitt thesenartig zusammen. </w:t>
      </w:r>
    </w:p>
    <w:p w14:paraId="0754FC24" w14:textId="77777777" w:rsidR="00AD32A0" w:rsidRPr="00E8024D" w:rsidRDefault="00085D1D" w:rsidP="00281678">
      <w:pPr>
        <w:pStyle w:val="Listenabsatz"/>
        <w:numPr>
          <w:ilvl w:val="0"/>
          <w:numId w:val="4"/>
        </w:numPr>
        <w:suppressLineNumbers/>
        <w:spacing w:after="0" w:line="360" w:lineRule="auto"/>
        <w:rPr>
          <w:rFonts w:ascii="Arial Narrow" w:hAnsi="Arial Narrow"/>
          <w:sz w:val="32"/>
          <w:szCs w:val="32"/>
        </w:rPr>
      </w:pPr>
      <w:r w:rsidRPr="00684E3A">
        <w:rPr>
          <w:rFonts w:ascii="Arial Narrow" w:hAnsi="Arial Narrow"/>
          <w:sz w:val="32"/>
          <w:szCs w:val="32"/>
        </w:rPr>
        <w:t xml:space="preserve">Zeigen Sie, dass </w:t>
      </w:r>
      <w:r w:rsidR="0082456F" w:rsidRPr="00684E3A">
        <w:rPr>
          <w:rFonts w:ascii="Arial Narrow" w:hAnsi="Arial Narrow"/>
          <w:sz w:val="32"/>
          <w:szCs w:val="32"/>
        </w:rPr>
        <w:t>Tertullian</w:t>
      </w:r>
      <w:r w:rsidR="0082456F">
        <w:rPr>
          <w:rFonts w:ascii="Arial Narrow" w:hAnsi="Arial Narrow"/>
          <w:sz w:val="32"/>
          <w:szCs w:val="32"/>
        </w:rPr>
        <w:t xml:space="preserve"> seine </w:t>
      </w:r>
      <w:r w:rsidRPr="00684E3A">
        <w:rPr>
          <w:rFonts w:ascii="Arial Narrow" w:hAnsi="Arial Narrow"/>
          <w:sz w:val="32"/>
          <w:szCs w:val="32"/>
        </w:rPr>
        <w:t xml:space="preserve">Aussagen </w:t>
      </w:r>
      <w:r w:rsidR="00BE58CC">
        <w:rPr>
          <w:rFonts w:ascii="Arial Narrow" w:hAnsi="Arial Narrow"/>
          <w:sz w:val="32"/>
          <w:szCs w:val="32"/>
        </w:rPr>
        <w:t xml:space="preserve">im letzten (zweisprachigen) Textabschnitt </w:t>
      </w:r>
      <w:r w:rsidR="00635CA2">
        <w:rPr>
          <w:rFonts w:ascii="Arial Narrow" w:hAnsi="Arial Narrow"/>
          <w:sz w:val="32"/>
          <w:szCs w:val="32"/>
        </w:rPr>
        <w:t xml:space="preserve">mit besonderer Sorgfalt sprachlich-stilistisch </w:t>
      </w:r>
      <w:r w:rsidRPr="00684E3A">
        <w:rPr>
          <w:rFonts w:ascii="Arial Narrow" w:hAnsi="Arial Narrow"/>
          <w:sz w:val="32"/>
          <w:szCs w:val="32"/>
        </w:rPr>
        <w:t xml:space="preserve">gestaltet </w:t>
      </w:r>
      <w:r w:rsidR="0082456F">
        <w:rPr>
          <w:rFonts w:ascii="Arial Narrow" w:hAnsi="Arial Narrow"/>
          <w:sz w:val="32"/>
          <w:szCs w:val="32"/>
        </w:rPr>
        <w:t>hat</w:t>
      </w:r>
      <w:r w:rsidRPr="00684E3A">
        <w:rPr>
          <w:rFonts w:ascii="Arial Narrow" w:hAnsi="Arial Narrow"/>
          <w:sz w:val="32"/>
          <w:szCs w:val="32"/>
        </w:rPr>
        <w:t>.</w:t>
      </w:r>
    </w:p>
    <w:sectPr w:rsidR="00AD32A0" w:rsidRPr="00E8024D" w:rsidSect="00135FEF">
      <w:headerReference w:type="default" r:id="rId7"/>
      <w:pgSz w:w="11906" w:h="16838"/>
      <w:pgMar w:top="1418" w:right="1134" w:bottom="45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3C99" w14:textId="77777777" w:rsidR="00F8175F" w:rsidRDefault="00F8175F" w:rsidP="005A292E">
      <w:pPr>
        <w:spacing w:after="0" w:line="240" w:lineRule="auto"/>
      </w:pPr>
      <w:r>
        <w:separator/>
      </w:r>
    </w:p>
  </w:endnote>
  <w:endnote w:type="continuationSeparator" w:id="0">
    <w:p w14:paraId="425364FE" w14:textId="77777777" w:rsidR="00F8175F" w:rsidRDefault="00F8175F" w:rsidP="005A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D5D01" w14:textId="77777777" w:rsidR="00F8175F" w:rsidRDefault="00F8175F" w:rsidP="005A292E">
      <w:pPr>
        <w:spacing w:after="0" w:line="240" w:lineRule="auto"/>
      </w:pPr>
      <w:r>
        <w:separator/>
      </w:r>
    </w:p>
  </w:footnote>
  <w:footnote w:type="continuationSeparator" w:id="0">
    <w:p w14:paraId="32B67E46" w14:textId="77777777" w:rsidR="00F8175F" w:rsidRDefault="00F8175F" w:rsidP="005A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423A" w14:textId="77777777" w:rsidR="005A292E" w:rsidRPr="00790448" w:rsidRDefault="00790448" w:rsidP="00790448">
    <w:pPr>
      <w:pStyle w:val="Kopfzeile"/>
    </w:pPr>
    <w:r>
      <w:t xml:space="preserve">Tertullian, </w:t>
    </w:r>
    <w:r w:rsidRPr="006273A8">
      <w:rPr>
        <w:i/>
        <w:iCs/>
      </w:rPr>
      <w:t>de idololatria</w:t>
    </w:r>
    <w: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628"/>
    <w:multiLevelType w:val="hybridMultilevel"/>
    <w:tmpl w:val="931C15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04A3707"/>
    <w:multiLevelType w:val="hybridMultilevel"/>
    <w:tmpl w:val="FFDE87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380EFD"/>
    <w:multiLevelType w:val="hybridMultilevel"/>
    <w:tmpl w:val="8A00B8F2"/>
    <w:lvl w:ilvl="0" w:tplc="C6EA7BB2">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F840A0"/>
    <w:multiLevelType w:val="hybridMultilevel"/>
    <w:tmpl w:val="45C654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292E"/>
    <w:rsid w:val="00037D17"/>
    <w:rsid w:val="000540D7"/>
    <w:rsid w:val="00062314"/>
    <w:rsid w:val="00072DEC"/>
    <w:rsid w:val="00074691"/>
    <w:rsid w:val="00081EDB"/>
    <w:rsid w:val="00085D1D"/>
    <w:rsid w:val="000B3431"/>
    <w:rsid w:val="000D3F1E"/>
    <w:rsid w:val="00112B74"/>
    <w:rsid w:val="00117902"/>
    <w:rsid w:val="00133C71"/>
    <w:rsid w:val="00135FEF"/>
    <w:rsid w:val="001423F7"/>
    <w:rsid w:val="0015608A"/>
    <w:rsid w:val="00157AA9"/>
    <w:rsid w:val="001728AF"/>
    <w:rsid w:val="00186882"/>
    <w:rsid w:val="001A4A04"/>
    <w:rsid w:val="001C5DED"/>
    <w:rsid w:val="001D4932"/>
    <w:rsid w:val="00215896"/>
    <w:rsid w:val="00231CAD"/>
    <w:rsid w:val="00245C99"/>
    <w:rsid w:val="0026059D"/>
    <w:rsid w:val="002621E2"/>
    <w:rsid w:val="00281678"/>
    <w:rsid w:val="002927B5"/>
    <w:rsid w:val="00295DAC"/>
    <w:rsid w:val="002A0AE8"/>
    <w:rsid w:val="003140A0"/>
    <w:rsid w:val="003252FE"/>
    <w:rsid w:val="00332180"/>
    <w:rsid w:val="00351606"/>
    <w:rsid w:val="0035711B"/>
    <w:rsid w:val="00370EA1"/>
    <w:rsid w:val="003F2E73"/>
    <w:rsid w:val="0045342A"/>
    <w:rsid w:val="004807C3"/>
    <w:rsid w:val="00482E7F"/>
    <w:rsid w:val="00493FBF"/>
    <w:rsid w:val="004C0D93"/>
    <w:rsid w:val="004C62F6"/>
    <w:rsid w:val="004D07D1"/>
    <w:rsid w:val="004E4914"/>
    <w:rsid w:val="004F0967"/>
    <w:rsid w:val="00592FE7"/>
    <w:rsid w:val="005A292E"/>
    <w:rsid w:val="005A73AE"/>
    <w:rsid w:val="005F0403"/>
    <w:rsid w:val="00601E3A"/>
    <w:rsid w:val="006273A8"/>
    <w:rsid w:val="006331EA"/>
    <w:rsid w:val="00635CA2"/>
    <w:rsid w:val="0064304D"/>
    <w:rsid w:val="00645111"/>
    <w:rsid w:val="00646BAD"/>
    <w:rsid w:val="006512BB"/>
    <w:rsid w:val="0067645B"/>
    <w:rsid w:val="00684E3A"/>
    <w:rsid w:val="006A0F71"/>
    <w:rsid w:val="006D4543"/>
    <w:rsid w:val="006F1490"/>
    <w:rsid w:val="00700C28"/>
    <w:rsid w:val="00711BC5"/>
    <w:rsid w:val="00743068"/>
    <w:rsid w:val="00744EF8"/>
    <w:rsid w:val="00770B98"/>
    <w:rsid w:val="00775FA3"/>
    <w:rsid w:val="00790448"/>
    <w:rsid w:val="0079236C"/>
    <w:rsid w:val="007C0751"/>
    <w:rsid w:val="00823F35"/>
    <w:rsid w:val="0082456F"/>
    <w:rsid w:val="00831DFD"/>
    <w:rsid w:val="00841F94"/>
    <w:rsid w:val="00857B9F"/>
    <w:rsid w:val="00886352"/>
    <w:rsid w:val="00897932"/>
    <w:rsid w:val="008C4FDB"/>
    <w:rsid w:val="008C7D2A"/>
    <w:rsid w:val="008E07B7"/>
    <w:rsid w:val="00905244"/>
    <w:rsid w:val="0093670B"/>
    <w:rsid w:val="009510D2"/>
    <w:rsid w:val="009520EB"/>
    <w:rsid w:val="009600C1"/>
    <w:rsid w:val="00962BE6"/>
    <w:rsid w:val="009C2C51"/>
    <w:rsid w:val="009C3CD8"/>
    <w:rsid w:val="009D6EEF"/>
    <w:rsid w:val="00A07F08"/>
    <w:rsid w:val="00A24262"/>
    <w:rsid w:val="00A416AE"/>
    <w:rsid w:val="00A42185"/>
    <w:rsid w:val="00A6696F"/>
    <w:rsid w:val="00A946BC"/>
    <w:rsid w:val="00AB26B6"/>
    <w:rsid w:val="00AC3B11"/>
    <w:rsid w:val="00AD32A0"/>
    <w:rsid w:val="00AE3593"/>
    <w:rsid w:val="00AF46C0"/>
    <w:rsid w:val="00B161AC"/>
    <w:rsid w:val="00B34365"/>
    <w:rsid w:val="00B35743"/>
    <w:rsid w:val="00B47160"/>
    <w:rsid w:val="00B54FD7"/>
    <w:rsid w:val="00B64ED3"/>
    <w:rsid w:val="00B662C4"/>
    <w:rsid w:val="00B72CA1"/>
    <w:rsid w:val="00BB23D2"/>
    <w:rsid w:val="00BB3FF3"/>
    <w:rsid w:val="00BC01D3"/>
    <w:rsid w:val="00BE27D8"/>
    <w:rsid w:val="00BE58CC"/>
    <w:rsid w:val="00BF5BE9"/>
    <w:rsid w:val="00C13CA3"/>
    <w:rsid w:val="00C16F39"/>
    <w:rsid w:val="00C24A44"/>
    <w:rsid w:val="00C302C6"/>
    <w:rsid w:val="00C81D26"/>
    <w:rsid w:val="00C94F9B"/>
    <w:rsid w:val="00CA5452"/>
    <w:rsid w:val="00CB4B88"/>
    <w:rsid w:val="00CC0DD9"/>
    <w:rsid w:val="00CE5321"/>
    <w:rsid w:val="00CF2869"/>
    <w:rsid w:val="00D01A26"/>
    <w:rsid w:val="00D31486"/>
    <w:rsid w:val="00D608C0"/>
    <w:rsid w:val="00DE58CE"/>
    <w:rsid w:val="00DF538A"/>
    <w:rsid w:val="00E514FB"/>
    <w:rsid w:val="00E602D1"/>
    <w:rsid w:val="00E60F6A"/>
    <w:rsid w:val="00E77CE2"/>
    <w:rsid w:val="00E8024D"/>
    <w:rsid w:val="00EB69EE"/>
    <w:rsid w:val="00EC0A42"/>
    <w:rsid w:val="00F167E8"/>
    <w:rsid w:val="00F33A41"/>
    <w:rsid w:val="00F3543C"/>
    <w:rsid w:val="00F61F88"/>
    <w:rsid w:val="00F626D8"/>
    <w:rsid w:val="00F8175F"/>
    <w:rsid w:val="00F82090"/>
    <w:rsid w:val="00F87BEE"/>
    <w:rsid w:val="00FC49C8"/>
    <w:rsid w:val="00FE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457A"/>
  <w15:chartTrackingRefBased/>
  <w15:docId w15:val="{D11CA598-A793-4B7B-A204-A41C67DD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9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92E"/>
  </w:style>
  <w:style w:type="paragraph" w:styleId="Fuzeile">
    <w:name w:val="footer"/>
    <w:basedOn w:val="Standard"/>
    <w:link w:val="FuzeileZchn"/>
    <w:uiPriority w:val="99"/>
    <w:unhideWhenUsed/>
    <w:rsid w:val="005A29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92E"/>
  </w:style>
  <w:style w:type="character" w:styleId="Hyperlink">
    <w:name w:val="Hyperlink"/>
    <w:basedOn w:val="Absatz-Standardschriftart"/>
    <w:uiPriority w:val="99"/>
    <w:semiHidden/>
    <w:unhideWhenUsed/>
    <w:rsid w:val="005A292E"/>
    <w:rPr>
      <w:color w:val="0000FF"/>
      <w:u w:val="single"/>
    </w:rPr>
  </w:style>
  <w:style w:type="character" w:styleId="Zeilennummer">
    <w:name w:val="line number"/>
    <w:basedOn w:val="Absatz-Standardschriftart"/>
    <w:uiPriority w:val="99"/>
    <w:semiHidden/>
    <w:unhideWhenUsed/>
    <w:rsid w:val="00B64ED3"/>
  </w:style>
  <w:style w:type="table" w:styleId="Tabellenraster">
    <w:name w:val="Table Grid"/>
    <w:basedOn w:val="NormaleTabelle"/>
    <w:uiPriority w:val="59"/>
    <w:rsid w:val="00AD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116</cp:revision>
  <cp:lastPrinted>2018-12-17T20:24:00Z</cp:lastPrinted>
  <dcterms:created xsi:type="dcterms:W3CDTF">2018-12-14T18:18:00Z</dcterms:created>
  <dcterms:modified xsi:type="dcterms:W3CDTF">2019-10-07T19:43:00Z</dcterms:modified>
</cp:coreProperties>
</file>