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B832" w14:textId="2C68F763" w:rsidR="00DF636B" w:rsidRPr="001C0E3D" w:rsidRDefault="002614F4" w:rsidP="00DF636B">
      <w:pPr>
        <w:widowControl w:val="0"/>
        <w:autoSpaceDE w:val="0"/>
        <w:autoSpaceDN w:val="0"/>
        <w:adjustRightInd w:val="0"/>
        <w:jc w:val="right"/>
        <w:rPr>
          <w:rFonts w:cs="Times New Roman"/>
          <w:color w:val="262626"/>
          <w:sz w:val="22"/>
          <w:szCs w:val="22"/>
          <w:lang w:val="es-CO"/>
        </w:rPr>
      </w:pPr>
      <w:r w:rsidRPr="001C0E3D">
        <w:rPr>
          <w:rFonts w:cs="Times New Roman"/>
          <w:color w:val="262626"/>
          <w:sz w:val="22"/>
          <w:szCs w:val="22"/>
          <w:lang w:val="es-CO"/>
        </w:rPr>
        <w:t>M2b</w:t>
      </w:r>
      <w:r w:rsidR="00817E5D" w:rsidRPr="001C0E3D">
        <w:rPr>
          <w:rFonts w:cs="Times New Roman"/>
          <w:color w:val="262626"/>
          <w:sz w:val="22"/>
          <w:szCs w:val="22"/>
          <w:lang w:val="es-CO"/>
        </w:rPr>
        <w:t>_SOL</w:t>
      </w:r>
    </w:p>
    <w:p w14:paraId="12A1981D" w14:textId="77777777" w:rsidR="002614F4" w:rsidRPr="001C0E3D" w:rsidRDefault="002614F4" w:rsidP="002614F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262626"/>
          <w:sz w:val="22"/>
          <w:szCs w:val="22"/>
          <w:lang w:val="es-CO"/>
        </w:rPr>
      </w:pPr>
    </w:p>
    <w:p w14:paraId="6FEE8270" w14:textId="58B8B33D" w:rsidR="00007AC9" w:rsidRPr="001C0E3D" w:rsidRDefault="00007AC9" w:rsidP="00007A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262626"/>
          <w:sz w:val="22"/>
          <w:szCs w:val="22"/>
          <w:lang w:val="es-CO"/>
        </w:rPr>
      </w:pPr>
      <w:r w:rsidRPr="001C0E3D">
        <w:rPr>
          <w:rFonts w:cs="Times New Roman"/>
          <w:b/>
          <w:color w:val="262626"/>
          <w:sz w:val="22"/>
          <w:szCs w:val="22"/>
          <w:lang w:val="es-CO"/>
        </w:rPr>
        <w:t>Sorteo de Navidad – Vocabulario</w:t>
      </w:r>
    </w:p>
    <w:p w14:paraId="40C104ED" w14:textId="77777777" w:rsidR="00832D94" w:rsidRPr="001C0E3D" w:rsidRDefault="00832D94" w:rsidP="00007A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262626"/>
          <w:sz w:val="22"/>
          <w:szCs w:val="22"/>
          <w:lang w:val="es-CO"/>
        </w:rPr>
      </w:pPr>
    </w:p>
    <w:p w14:paraId="53C9DAC9" w14:textId="77777777" w:rsidR="00007AC9" w:rsidRPr="001C0E3D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01DB3461" w14:textId="4EFE9D0E" w:rsidR="00007AC9" w:rsidRPr="001C0E3D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1C0E3D">
        <w:rPr>
          <w:rFonts w:cs="Times New Roman"/>
          <w:color w:val="262626"/>
          <w:sz w:val="22"/>
          <w:szCs w:val="22"/>
          <w:lang w:val="es-CO"/>
        </w:rPr>
        <w:t>La gente que participa (juega) en el sorteo del Gordo</w:t>
      </w:r>
      <w:r w:rsidR="00D675A4" w:rsidRPr="001C0E3D">
        <w:rPr>
          <w:rFonts w:cs="Times New Roman"/>
          <w:color w:val="262626"/>
          <w:sz w:val="22"/>
          <w:szCs w:val="22"/>
          <w:lang w:val="es-CO"/>
        </w:rPr>
        <w:t xml:space="preserve"> </w:t>
      </w:r>
      <w:r w:rsidR="00831515" w:rsidRPr="001C0E3D">
        <w:rPr>
          <w:rFonts w:cs="Times New Roman"/>
          <w:color w:val="262626"/>
          <w:sz w:val="22"/>
          <w:szCs w:val="22"/>
          <w:lang w:val="es-CO"/>
        </w:rPr>
        <w:t xml:space="preserve">comprando lotería </w:t>
      </w:r>
      <w:r w:rsidR="00D675A4" w:rsidRPr="001C0E3D">
        <w:rPr>
          <w:rFonts w:cs="Times New Roman"/>
          <w:color w:val="262626"/>
          <w:sz w:val="22"/>
          <w:szCs w:val="22"/>
          <w:lang w:val="es-CO"/>
        </w:rPr>
        <w:t>n</w:t>
      </w:r>
      <w:r w:rsidRPr="001C0E3D">
        <w:rPr>
          <w:rFonts w:cs="Times New Roman"/>
          <w:color w:val="262626"/>
          <w:sz w:val="22"/>
          <w:szCs w:val="22"/>
          <w:lang w:val="es-CO"/>
        </w:rPr>
        <w:t xml:space="preserve">o paga siempre la misma cantidad. Hay diversas posibilidades. La cantidad que se gana si el número es premiado es directamente proporcional a la cantidad invertida. </w:t>
      </w:r>
    </w:p>
    <w:p w14:paraId="51751B2B" w14:textId="77777777" w:rsidR="00007AC9" w:rsidRPr="001C0E3D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4F6B37EC" w14:textId="77777777" w:rsidR="002D2709" w:rsidRPr="001C0E3D" w:rsidRDefault="00831515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1C0E3D">
        <w:rPr>
          <w:rFonts w:cs="Times New Roman"/>
          <w:color w:val="262626"/>
          <w:sz w:val="22"/>
          <w:szCs w:val="22"/>
          <w:lang w:val="es-CO"/>
        </w:rPr>
        <w:t>Aquí tienes alguna</w:t>
      </w:r>
      <w:r w:rsidR="00007AC9" w:rsidRPr="001C0E3D">
        <w:rPr>
          <w:rFonts w:cs="Times New Roman"/>
          <w:color w:val="262626"/>
          <w:sz w:val="22"/>
          <w:szCs w:val="22"/>
          <w:lang w:val="es-CO"/>
        </w:rPr>
        <w:t xml:space="preserve">s </w:t>
      </w:r>
      <w:r w:rsidRPr="001C0E3D">
        <w:rPr>
          <w:rFonts w:cs="Times New Roman"/>
          <w:color w:val="262626"/>
          <w:sz w:val="22"/>
          <w:szCs w:val="22"/>
          <w:lang w:val="es-CO"/>
        </w:rPr>
        <w:t>definiciones</w:t>
      </w:r>
      <w:r w:rsidR="00007AC9" w:rsidRPr="001C0E3D">
        <w:rPr>
          <w:rFonts w:cs="Times New Roman"/>
          <w:color w:val="262626"/>
          <w:sz w:val="22"/>
          <w:szCs w:val="22"/>
          <w:lang w:val="es-CO"/>
        </w:rPr>
        <w:t xml:space="preserve"> importantes relaci</w:t>
      </w:r>
      <w:r w:rsidRPr="001C0E3D">
        <w:rPr>
          <w:rFonts w:cs="Times New Roman"/>
          <w:color w:val="262626"/>
          <w:sz w:val="22"/>
          <w:szCs w:val="22"/>
          <w:lang w:val="es-CO"/>
        </w:rPr>
        <w:t xml:space="preserve">onadas con el sorteo de Navidad. </w:t>
      </w:r>
    </w:p>
    <w:p w14:paraId="14A027BA" w14:textId="5F4D4441" w:rsidR="00007AC9" w:rsidRPr="001C0E3D" w:rsidRDefault="00831515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1C0E3D">
        <w:rPr>
          <w:rFonts w:cs="Times New Roman"/>
          <w:color w:val="262626"/>
          <w:sz w:val="22"/>
          <w:szCs w:val="22"/>
          <w:lang w:val="es-CO"/>
        </w:rPr>
        <w:t xml:space="preserve">Relaciona las definiciones con el término correspondiente. </w:t>
      </w:r>
    </w:p>
    <w:p w14:paraId="6D1F5E23" w14:textId="676B4957" w:rsidR="00831515" w:rsidRPr="001C0E3D" w:rsidRDefault="00831515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  <w:r w:rsidRPr="001C0E3D">
        <w:rPr>
          <w:rFonts w:cs="Times New Roman"/>
          <w:color w:val="262626"/>
          <w:sz w:val="22"/>
          <w:szCs w:val="22"/>
          <w:lang w:val="es-CO"/>
        </w:rPr>
        <w:t>Piensa en todas las estrategias que conoces para adivinar el significado de las palabras nuevas.</w:t>
      </w:r>
    </w:p>
    <w:p w14:paraId="3240648E" w14:textId="77777777" w:rsidR="002D2709" w:rsidRPr="001C0E3D" w:rsidRDefault="002D270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5F20D2A6" w14:textId="77777777" w:rsidR="00007AC9" w:rsidRPr="001C0E3D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color w:val="262626"/>
          <w:sz w:val="22"/>
          <w:szCs w:val="22"/>
          <w:lang w:val="es-CO"/>
        </w:rPr>
      </w:pPr>
    </w:p>
    <w:p w14:paraId="093E2078" w14:textId="348F46F2" w:rsidR="00007AC9" w:rsidRPr="001C0E3D" w:rsidRDefault="00F82477" w:rsidP="00007AC9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1. </w:t>
      </w:r>
      <w:r w:rsidR="002614F4" w:rsidRPr="001C0E3D">
        <w:rPr>
          <w:rFonts w:cs="Times New Roman"/>
          <w:b/>
          <w:bCs/>
          <w:color w:val="434343"/>
          <w:sz w:val="22"/>
          <w:szCs w:val="22"/>
          <w:lang w:val="es-CO"/>
        </w:rPr>
        <w:t>La serie</w:t>
      </w:r>
    </w:p>
    <w:p w14:paraId="2F70603B" w14:textId="2A27D3C6" w:rsidR="00007AC9" w:rsidRPr="001C0E3D" w:rsidRDefault="00007AC9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1C0E3D">
        <w:rPr>
          <w:rFonts w:cs="Times New Roman"/>
          <w:color w:val="434343"/>
          <w:sz w:val="22"/>
          <w:szCs w:val="22"/>
          <w:lang w:val="es-CO"/>
        </w:rPr>
        <w:t>está</w:t>
      </w:r>
      <w:proofErr w:type="gramEnd"/>
      <w:r w:rsidRPr="001C0E3D">
        <w:rPr>
          <w:rFonts w:cs="Times New Roman"/>
          <w:color w:val="434343"/>
          <w:sz w:val="22"/>
          <w:szCs w:val="22"/>
          <w:lang w:val="es-CO"/>
        </w:rPr>
        <w:t xml:space="preserve"> formada por un billete de cada número que participa en el sorteo.</w:t>
      </w:r>
    </w:p>
    <w:p w14:paraId="55CFB950" w14:textId="77777777" w:rsidR="00F82477" w:rsidRPr="001C0E3D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002E415E" w14:textId="2E6DA095" w:rsidR="006B2BE1" w:rsidRPr="001C0E3D" w:rsidRDefault="00F82477" w:rsidP="006B2BE1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2. </w:t>
      </w:r>
      <w:r w:rsidR="002614F4" w:rsidRPr="001C0E3D">
        <w:rPr>
          <w:rFonts w:cs="Times New Roman"/>
          <w:b/>
          <w:bCs/>
          <w:color w:val="434343"/>
          <w:sz w:val="22"/>
          <w:szCs w:val="22"/>
          <w:lang w:val="es-CO"/>
        </w:rPr>
        <w:t>El billete</w:t>
      </w:r>
    </w:p>
    <w:p w14:paraId="7CCDA4F7" w14:textId="54F42919" w:rsidR="00007AC9" w:rsidRPr="001C0E3D" w:rsidRDefault="00007AC9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1C0E3D">
        <w:rPr>
          <w:rFonts w:cs="Times New Roman"/>
          <w:color w:val="434343"/>
          <w:sz w:val="22"/>
          <w:szCs w:val="22"/>
          <w:lang w:val="es-CO"/>
        </w:rPr>
        <w:t>es</w:t>
      </w:r>
      <w:proofErr w:type="gramEnd"/>
      <w:r w:rsidRPr="001C0E3D">
        <w:rPr>
          <w:rFonts w:cs="Times New Roman"/>
          <w:color w:val="434343"/>
          <w:sz w:val="22"/>
          <w:szCs w:val="22"/>
          <w:lang w:val="es-CO"/>
        </w:rPr>
        <w:t xml:space="preserve"> la medida con la que se reparten los grandes premios, cuesta 200 euros y y está compuesto de diez décimos.</w:t>
      </w:r>
    </w:p>
    <w:p w14:paraId="1D050456" w14:textId="77777777" w:rsidR="00F82477" w:rsidRPr="001C0E3D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098E6D39" w14:textId="6600DA4E" w:rsidR="006B2BE1" w:rsidRPr="001C0E3D" w:rsidRDefault="00F82477" w:rsidP="006B2BE1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3. </w:t>
      </w:r>
      <w:r w:rsidR="002614F4" w:rsidRPr="001C0E3D">
        <w:rPr>
          <w:rFonts w:cs="Times New Roman"/>
          <w:b/>
          <w:bCs/>
          <w:color w:val="434343"/>
          <w:sz w:val="22"/>
          <w:szCs w:val="22"/>
          <w:lang w:val="es-CO"/>
        </w:rPr>
        <w:t>El décimo</w:t>
      </w:r>
    </w:p>
    <w:p w14:paraId="13F5C1F9" w14:textId="6D8FCB90" w:rsidR="00007AC9" w:rsidRPr="001C0E3D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1C0E3D">
        <w:rPr>
          <w:rFonts w:cs="Times New Roman"/>
          <w:color w:val="434343"/>
          <w:sz w:val="22"/>
          <w:szCs w:val="22"/>
          <w:lang w:val="es-CO"/>
        </w:rPr>
        <w:t>e</w:t>
      </w:r>
      <w:r w:rsidR="00007AC9" w:rsidRPr="001C0E3D">
        <w:rPr>
          <w:rFonts w:cs="Times New Roman"/>
          <w:color w:val="434343"/>
          <w:sz w:val="22"/>
          <w:szCs w:val="22"/>
          <w:lang w:val="es-CO"/>
        </w:rPr>
        <w:t>s</w:t>
      </w:r>
      <w:proofErr w:type="gramEnd"/>
      <w:r w:rsidR="00007AC9" w:rsidRPr="001C0E3D">
        <w:rPr>
          <w:rFonts w:cs="Times New Roman"/>
          <w:color w:val="434343"/>
          <w:sz w:val="22"/>
          <w:szCs w:val="22"/>
          <w:lang w:val="es-CO"/>
        </w:rPr>
        <w:t xml:space="preserve"> la décima parte del precio del billete, es decir, 20 euros. Es la forma más común de jugar.</w:t>
      </w:r>
    </w:p>
    <w:p w14:paraId="64841BA6" w14:textId="77777777" w:rsidR="00F82477" w:rsidRPr="001C0E3D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103548C2" w14:textId="1F964EF2" w:rsidR="006B2BE1" w:rsidRPr="001C0E3D" w:rsidRDefault="00F82477" w:rsidP="006B2BE1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4. </w:t>
      </w:r>
      <w:r w:rsidR="002614F4" w:rsidRPr="001C0E3D">
        <w:rPr>
          <w:rFonts w:cs="Times New Roman"/>
          <w:b/>
          <w:bCs/>
          <w:color w:val="434343"/>
          <w:sz w:val="22"/>
          <w:szCs w:val="22"/>
          <w:lang w:val="es-CO"/>
        </w:rPr>
        <w:t>Las participaciones</w:t>
      </w:r>
    </w:p>
    <w:p w14:paraId="3B25A94A" w14:textId="44019D64" w:rsidR="00F82477" w:rsidRPr="001C0E3D" w:rsidRDefault="00007AC9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proofErr w:type="gramStart"/>
      <w:r w:rsidRPr="001C0E3D">
        <w:rPr>
          <w:rFonts w:cs="Times New Roman"/>
          <w:color w:val="434343"/>
          <w:sz w:val="22"/>
          <w:szCs w:val="22"/>
          <w:lang w:val="es-CO"/>
        </w:rPr>
        <w:t>son</w:t>
      </w:r>
      <w:proofErr w:type="gramEnd"/>
      <w:r w:rsidRPr="001C0E3D">
        <w:rPr>
          <w:rFonts w:cs="Times New Roman"/>
          <w:color w:val="434343"/>
          <w:sz w:val="22"/>
          <w:szCs w:val="22"/>
          <w:lang w:val="es-CO"/>
        </w:rPr>
        <w:t xml:space="preserve"> partes en las que se divide un décimo</w:t>
      </w:r>
      <w:r w:rsidR="00832D94" w:rsidRPr="001C0E3D">
        <w:rPr>
          <w:rFonts w:cs="Times New Roman"/>
          <w:color w:val="434343"/>
          <w:sz w:val="22"/>
          <w:szCs w:val="22"/>
          <w:lang w:val="es-CO"/>
        </w:rPr>
        <w:t>.</w:t>
      </w:r>
      <w:r w:rsidRPr="001C0E3D">
        <w:rPr>
          <w:rFonts w:cs="Times New Roman"/>
          <w:color w:val="434343"/>
          <w:sz w:val="22"/>
          <w:szCs w:val="22"/>
          <w:lang w:val="es-CO"/>
        </w:rPr>
        <w:t xml:space="preserve"> </w:t>
      </w:r>
      <w:r w:rsidR="002614F4" w:rsidRPr="001C0E3D">
        <w:rPr>
          <w:rFonts w:cs="Times New Roman"/>
          <w:color w:val="434343"/>
          <w:sz w:val="22"/>
          <w:szCs w:val="22"/>
          <w:lang w:val="es-CO"/>
        </w:rPr>
        <w:t>En la participación aparece cuánto dinero se juega.</w:t>
      </w:r>
      <w:bookmarkStart w:id="0" w:name="_GoBack"/>
      <w:bookmarkEnd w:id="0"/>
    </w:p>
    <w:p w14:paraId="729AD2C1" w14:textId="77777777" w:rsidR="00193CE0" w:rsidRPr="001C0E3D" w:rsidRDefault="00193CE0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35D97993" w14:textId="2CFCDCB9" w:rsidR="00F82477" w:rsidRPr="001C0E3D" w:rsidRDefault="00F82477" w:rsidP="00F82477">
      <w:pPr>
        <w:widowControl w:val="0"/>
        <w:autoSpaceDE w:val="0"/>
        <w:autoSpaceDN w:val="0"/>
        <w:adjustRightInd w:val="0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b/>
          <w:bCs/>
          <w:color w:val="434343"/>
          <w:sz w:val="22"/>
          <w:szCs w:val="22"/>
          <w:lang w:val="es-CO"/>
        </w:rPr>
        <w:t xml:space="preserve">5. </w:t>
      </w:r>
      <w:r w:rsidR="002614F4" w:rsidRPr="001C0E3D">
        <w:rPr>
          <w:rFonts w:cs="Times New Roman"/>
          <w:b/>
          <w:bCs/>
          <w:color w:val="434343"/>
          <w:sz w:val="22"/>
          <w:szCs w:val="22"/>
          <w:lang w:val="es-CO"/>
        </w:rPr>
        <w:t>El Gordo</w:t>
      </w:r>
    </w:p>
    <w:p w14:paraId="06AC6606" w14:textId="5427FF05" w:rsidR="00007AC9" w:rsidRPr="001C0E3D" w:rsidRDefault="00007AC9" w:rsidP="00007AC9">
      <w:pPr>
        <w:widowControl w:val="0"/>
        <w:autoSpaceDE w:val="0"/>
        <w:autoSpaceDN w:val="0"/>
        <w:adjustRightInd w:val="0"/>
        <w:rPr>
          <w:rFonts w:cs="Times New Roman"/>
          <w:bCs/>
          <w:color w:val="434343"/>
          <w:sz w:val="22"/>
          <w:szCs w:val="22"/>
          <w:lang w:val="es-CO"/>
        </w:rPr>
      </w:pPr>
      <w:r w:rsidRPr="001C0E3D">
        <w:rPr>
          <w:rFonts w:cs="Times New Roman"/>
          <w:bCs/>
          <w:color w:val="434343"/>
          <w:sz w:val="22"/>
          <w:szCs w:val="22"/>
          <w:lang w:val="es-CO"/>
        </w:rPr>
        <w:t xml:space="preserve">Es el premio más importante, dotado con 4 millones de </w:t>
      </w:r>
      <w:r w:rsidR="00F82477" w:rsidRPr="001C0E3D">
        <w:rPr>
          <w:rFonts w:cs="Times New Roman"/>
          <w:bCs/>
          <w:color w:val="434343"/>
          <w:sz w:val="22"/>
          <w:szCs w:val="22"/>
          <w:lang w:val="es-CO"/>
        </w:rPr>
        <w:t>euros.</w:t>
      </w:r>
    </w:p>
    <w:p w14:paraId="1D6F3850" w14:textId="77777777" w:rsidR="00F82477" w:rsidRPr="001C0E3D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0D0FFB90" w14:textId="77777777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742AB7F2" w14:textId="4B761BA9" w:rsidR="00DF0165" w:rsidRPr="001C0E3D" w:rsidRDefault="00F82477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noProof/>
          <w:color w:val="43434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D872D" wp14:editId="2FD89CAB">
                <wp:simplePos x="0" y="0"/>
                <wp:positionH relativeFrom="column">
                  <wp:posOffset>123825</wp:posOffset>
                </wp:positionH>
                <wp:positionV relativeFrom="paragraph">
                  <wp:posOffset>166370</wp:posOffset>
                </wp:positionV>
                <wp:extent cx="5697855" cy="1285240"/>
                <wp:effectExtent l="0" t="0" r="17145" b="35560"/>
                <wp:wrapThrough wrapText="bothSides">
                  <wp:wrapPolygon edited="0">
                    <wp:start x="12806" y="0"/>
                    <wp:lineTo x="0" y="1708"/>
                    <wp:lineTo x="0" y="20917"/>
                    <wp:lineTo x="1444" y="21771"/>
                    <wp:lineTo x="2022" y="21771"/>
                    <wp:lineTo x="8762" y="21771"/>
                    <wp:lineTo x="21569" y="20063"/>
                    <wp:lineTo x="21569" y="427"/>
                    <wp:lineTo x="19547" y="0"/>
                    <wp:lineTo x="12806" y="0"/>
                  </wp:wrapPolygon>
                </wp:wrapThrough>
                <wp:docPr id="1" name="Lochstreif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28524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9556A" w14:textId="23169CA9" w:rsidR="00F82477" w:rsidRPr="00A3521C" w:rsidRDefault="00F82477" w:rsidP="0083151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proofErr w:type="gramStart"/>
                            <w:r w:rsidRPr="00A3521C">
                              <w:rPr>
                                <w:lang w:val="es-CO"/>
                              </w:rPr>
                              <w:t>el</w:t>
                            </w:r>
                            <w:proofErr w:type="gramEnd"/>
                            <w:r w:rsidR="006B2BE1" w:rsidRPr="00A3521C">
                              <w:rPr>
                                <w:lang w:val="es-CO"/>
                              </w:rPr>
                              <w:t xml:space="preserve"> décimo</w:t>
                            </w:r>
                            <w:r w:rsidR="006B2BE1" w:rsidRPr="00A3521C">
                              <w:rPr>
                                <w:lang w:val="es-CO"/>
                              </w:rPr>
                              <w:tab/>
                            </w:r>
                            <w:r w:rsidR="006B2BE1" w:rsidRPr="00A3521C">
                              <w:rPr>
                                <w:lang w:val="es-CO"/>
                              </w:rPr>
                              <w:tab/>
                            </w:r>
                            <w:r w:rsidRPr="00A3521C">
                              <w:rPr>
                                <w:lang w:val="es-CO"/>
                              </w:rPr>
                              <w:tab/>
                            </w:r>
                            <w:r w:rsidR="006B2BE1" w:rsidRPr="00A3521C">
                              <w:rPr>
                                <w:lang w:val="es-CO"/>
                              </w:rPr>
                              <w:t>el billete</w:t>
                            </w:r>
                            <w:r w:rsidR="006B2BE1" w:rsidRPr="00A3521C">
                              <w:rPr>
                                <w:lang w:val="es-CO"/>
                              </w:rPr>
                              <w:tab/>
                              <w:t xml:space="preserve"> </w:t>
                            </w:r>
                          </w:p>
                          <w:p w14:paraId="03A8033A" w14:textId="77777777" w:rsidR="00F82477" w:rsidRPr="00A3521C" w:rsidRDefault="00F82477" w:rsidP="0083151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4256D8C2" w14:textId="3584D317" w:rsidR="00F82477" w:rsidRPr="00A3521C" w:rsidRDefault="006B2BE1" w:rsidP="00193CE0">
                            <w:pPr>
                              <w:ind w:firstLine="708"/>
                              <w:rPr>
                                <w:lang w:val="es-CO"/>
                              </w:rPr>
                            </w:pPr>
                            <w:proofErr w:type="gramStart"/>
                            <w:r w:rsidRPr="00A3521C">
                              <w:rPr>
                                <w:lang w:val="es-CO"/>
                              </w:rPr>
                              <w:t>las</w:t>
                            </w:r>
                            <w:proofErr w:type="gramEnd"/>
                            <w:r w:rsidRPr="00A3521C">
                              <w:rPr>
                                <w:lang w:val="es-CO"/>
                              </w:rPr>
                              <w:t xml:space="preserve"> participaciones</w:t>
                            </w:r>
                            <w:r w:rsidR="00F82477" w:rsidRPr="00A3521C">
                              <w:rPr>
                                <w:lang w:val="es-CO"/>
                              </w:rPr>
                              <w:tab/>
                            </w:r>
                            <w:r w:rsidR="00F82477" w:rsidRPr="00A3521C">
                              <w:rPr>
                                <w:lang w:val="es-CO"/>
                              </w:rPr>
                              <w:tab/>
                              <w:t xml:space="preserve">el Gordo </w:t>
                            </w:r>
                            <w:r w:rsidR="00F82477" w:rsidRPr="00A3521C">
                              <w:rPr>
                                <w:lang w:val="es-CO"/>
                              </w:rPr>
                              <w:tab/>
                            </w:r>
                            <w:r w:rsidR="00193CE0">
                              <w:rPr>
                                <w:lang w:val="es-CO"/>
                              </w:rPr>
                              <w:tab/>
                            </w:r>
                            <w:r w:rsidR="00F82477" w:rsidRPr="00A3521C">
                              <w:rPr>
                                <w:lang w:val="es-CO"/>
                              </w:rPr>
                              <w:t>la serie</w:t>
                            </w:r>
                          </w:p>
                          <w:p w14:paraId="18C66E82" w14:textId="77777777" w:rsidR="00F82477" w:rsidRPr="00A3521C" w:rsidRDefault="00F82477" w:rsidP="00F82477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  <w:p w14:paraId="5ECC55F7" w14:textId="5F906A9C" w:rsidR="006B2BE1" w:rsidRPr="00A3521C" w:rsidRDefault="006B2BE1" w:rsidP="00831515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872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Lochstreifen 1" o:spid="_x0000_s1026" type="#_x0000_t122" style="position:absolute;left:0;text-align:left;margin-left:9.75pt;margin-top:13.1pt;width:448.65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" fillcolor="white [3201]" strokecolor="#4f81bd [3204]" strokeweight="2pt">
                <v:textbox>
                  <w:txbxContent>
                    <w:p w14:paraId="01C9556A" w14:textId="23169CA9" w:rsidR="00F82477" w:rsidRPr="00A3521C" w:rsidRDefault="00F82477" w:rsidP="00831515">
                      <w:pPr>
                        <w:jc w:val="center"/>
                        <w:rPr>
                          <w:lang w:val="es-CO"/>
                        </w:rPr>
                      </w:pPr>
                      <w:proofErr w:type="gramStart"/>
                      <w:r w:rsidRPr="00A3521C">
                        <w:rPr>
                          <w:lang w:val="es-CO"/>
                        </w:rPr>
                        <w:t>el</w:t>
                      </w:r>
                      <w:proofErr w:type="gramEnd"/>
                      <w:r w:rsidR="006B2BE1" w:rsidRPr="00A3521C">
                        <w:rPr>
                          <w:lang w:val="es-CO"/>
                        </w:rPr>
                        <w:t xml:space="preserve"> décimo</w:t>
                      </w:r>
                      <w:r w:rsidR="006B2BE1" w:rsidRPr="00A3521C">
                        <w:rPr>
                          <w:lang w:val="es-CO"/>
                        </w:rPr>
                        <w:tab/>
                      </w:r>
                      <w:r w:rsidR="006B2BE1" w:rsidRPr="00A3521C">
                        <w:rPr>
                          <w:lang w:val="es-CO"/>
                        </w:rPr>
                        <w:tab/>
                      </w:r>
                      <w:r w:rsidRPr="00A3521C">
                        <w:rPr>
                          <w:lang w:val="es-CO"/>
                        </w:rPr>
                        <w:tab/>
                      </w:r>
                      <w:r w:rsidR="006B2BE1" w:rsidRPr="00A3521C">
                        <w:rPr>
                          <w:lang w:val="es-CO"/>
                        </w:rPr>
                        <w:t>el billete</w:t>
                      </w:r>
                      <w:r w:rsidR="006B2BE1" w:rsidRPr="00A3521C">
                        <w:rPr>
                          <w:lang w:val="es-CO"/>
                        </w:rPr>
                        <w:tab/>
                        <w:t xml:space="preserve"> </w:t>
                      </w:r>
                    </w:p>
                    <w:p w14:paraId="03A8033A" w14:textId="77777777" w:rsidR="00F82477" w:rsidRPr="00A3521C" w:rsidRDefault="00F82477" w:rsidP="00831515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4256D8C2" w14:textId="3584D317" w:rsidR="00F82477" w:rsidRPr="00A3521C" w:rsidRDefault="006B2BE1" w:rsidP="00193CE0">
                      <w:pPr>
                        <w:ind w:firstLine="708"/>
                        <w:rPr>
                          <w:lang w:val="es-CO"/>
                        </w:rPr>
                      </w:pPr>
                      <w:proofErr w:type="gramStart"/>
                      <w:r w:rsidRPr="00A3521C">
                        <w:rPr>
                          <w:lang w:val="es-CO"/>
                        </w:rPr>
                        <w:t>las</w:t>
                      </w:r>
                      <w:proofErr w:type="gramEnd"/>
                      <w:r w:rsidRPr="00A3521C">
                        <w:rPr>
                          <w:lang w:val="es-CO"/>
                        </w:rPr>
                        <w:t xml:space="preserve"> participaciones</w:t>
                      </w:r>
                      <w:r w:rsidR="00F82477" w:rsidRPr="00A3521C">
                        <w:rPr>
                          <w:lang w:val="es-CO"/>
                        </w:rPr>
                        <w:tab/>
                      </w:r>
                      <w:r w:rsidR="00F82477" w:rsidRPr="00A3521C">
                        <w:rPr>
                          <w:lang w:val="es-CO"/>
                        </w:rPr>
                        <w:tab/>
                        <w:t xml:space="preserve">el Gordo </w:t>
                      </w:r>
                      <w:r w:rsidR="00F82477" w:rsidRPr="00A3521C">
                        <w:rPr>
                          <w:lang w:val="es-CO"/>
                        </w:rPr>
                        <w:tab/>
                      </w:r>
                      <w:r w:rsidR="00193CE0">
                        <w:rPr>
                          <w:lang w:val="es-CO"/>
                        </w:rPr>
                        <w:tab/>
                      </w:r>
                      <w:r w:rsidR="00F82477" w:rsidRPr="00A3521C">
                        <w:rPr>
                          <w:lang w:val="es-CO"/>
                        </w:rPr>
                        <w:t>la serie</w:t>
                      </w:r>
                    </w:p>
                    <w:p w14:paraId="18C66E82" w14:textId="77777777" w:rsidR="00F82477" w:rsidRPr="00A3521C" w:rsidRDefault="00F82477" w:rsidP="00F82477">
                      <w:pPr>
                        <w:jc w:val="center"/>
                        <w:rPr>
                          <w:lang w:val="es-CO"/>
                        </w:rPr>
                      </w:pPr>
                    </w:p>
                    <w:p w14:paraId="5ECC55F7" w14:textId="5F906A9C" w:rsidR="006B2BE1" w:rsidRPr="00A3521C" w:rsidRDefault="006B2BE1" w:rsidP="00831515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CE3F990" w14:textId="39327CA2" w:rsidR="00831515" w:rsidRPr="001C0E3D" w:rsidRDefault="00831515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60E42AF7" w14:textId="2C5136F3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42B5CD5D" w14:textId="53942E65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76C4A8B6" w14:textId="71894E04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3B82F20E" w14:textId="298CCDA4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19B9DC28" w14:textId="0A3F9A44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450DCADD" w14:textId="3D2C67E9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6B9B3780" w14:textId="3CAD0BE2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55ADA39C" w14:textId="77777777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</w:p>
    <w:p w14:paraId="14A528C9" w14:textId="016A6E98" w:rsidR="00DF0165" w:rsidRPr="001C0E3D" w:rsidRDefault="00DF0165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</w:rPr>
      </w:pPr>
      <w:proofErr w:type="spellStart"/>
      <w:r w:rsidRPr="001C0E3D">
        <w:rPr>
          <w:rFonts w:cs="Times New Roman"/>
          <w:color w:val="434343"/>
          <w:sz w:val="22"/>
          <w:szCs w:val="22"/>
        </w:rPr>
        <w:t>Otras</w:t>
      </w:r>
      <w:proofErr w:type="spellEnd"/>
      <w:r w:rsidRPr="001C0E3D">
        <w:rPr>
          <w:rFonts w:cs="Times New Roman"/>
          <w:color w:val="434343"/>
          <w:sz w:val="22"/>
          <w:szCs w:val="22"/>
        </w:rPr>
        <w:t xml:space="preserve"> </w:t>
      </w:r>
      <w:proofErr w:type="spellStart"/>
      <w:r w:rsidRPr="001C0E3D">
        <w:rPr>
          <w:rFonts w:cs="Times New Roman"/>
          <w:color w:val="434343"/>
          <w:sz w:val="22"/>
          <w:szCs w:val="22"/>
        </w:rPr>
        <w:t>expresiones</w:t>
      </w:r>
      <w:proofErr w:type="spellEnd"/>
      <w:r w:rsidRPr="001C0E3D">
        <w:rPr>
          <w:rFonts w:cs="Times New Roman"/>
          <w:color w:val="434343"/>
          <w:sz w:val="22"/>
          <w:szCs w:val="22"/>
        </w:rPr>
        <w:t xml:space="preserve"> </w:t>
      </w:r>
      <w:proofErr w:type="spellStart"/>
      <w:r w:rsidRPr="001C0E3D">
        <w:rPr>
          <w:rFonts w:cs="Times New Roman"/>
          <w:color w:val="434343"/>
          <w:sz w:val="22"/>
          <w:szCs w:val="22"/>
        </w:rPr>
        <w:t>habituales</w:t>
      </w:r>
      <w:proofErr w:type="spellEnd"/>
      <w:r w:rsidRPr="001C0E3D">
        <w:rPr>
          <w:rFonts w:cs="Times New Roman"/>
          <w:color w:val="434343"/>
          <w:sz w:val="22"/>
          <w:szCs w:val="22"/>
        </w:rPr>
        <w:t>:</w:t>
      </w:r>
    </w:p>
    <w:p w14:paraId="6B21654E" w14:textId="77777777" w:rsidR="00A3521C" w:rsidRPr="001C0E3D" w:rsidRDefault="00A3521C" w:rsidP="00007AC9">
      <w:pPr>
        <w:widowControl w:val="0"/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</w:rPr>
      </w:pPr>
    </w:p>
    <w:p w14:paraId="04B76364" w14:textId="65FC5A3B" w:rsidR="00DF0165" w:rsidRPr="001C0E3D" w:rsidRDefault="00DF0165" w:rsidP="0083151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</w:rPr>
      </w:pPr>
      <w:proofErr w:type="spellStart"/>
      <w:r w:rsidRPr="001C0E3D">
        <w:rPr>
          <w:rFonts w:cs="Times New Roman"/>
          <w:color w:val="434343"/>
          <w:sz w:val="22"/>
          <w:szCs w:val="22"/>
        </w:rPr>
        <w:t>Jugar</w:t>
      </w:r>
      <w:proofErr w:type="spellEnd"/>
      <w:r w:rsidRPr="001C0E3D">
        <w:rPr>
          <w:rFonts w:cs="Times New Roman"/>
          <w:color w:val="434343"/>
          <w:sz w:val="22"/>
          <w:szCs w:val="22"/>
        </w:rPr>
        <w:t xml:space="preserve"> a la </w:t>
      </w:r>
      <w:proofErr w:type="spellStart"/>
      <w:r w:rsidRPr="001C0E3D">
        <w:rPr>
          <w:rFonts w:cs="Times New Roman"/>
          <w:color w:val="434343"/>
          <w:sz w:val="22"/>
          <w:szCs w:val="22"/>
        </w:rPr>
        <w:t>lotería</w:t>
      </w:r>
      <w:proofErr w:type="spellEnd"/>
    </w:p>
    <w:p w14:paraId="7A7E9A8F" w14:textId="41F9BCAE" w:rsidR="00DF0165" w:rsidRPr="001C0E3D" w:rsidRDefault="00DF0165" w:rsidP="0083151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color w:val="434343"/>
          <w:sz w:val="22"/>
          <w:szCs w:val="22"/>
          <w:lang w:val="es-CO"/>
        </w:rPr>
        <w:t>Tocarle a alguien un premio/la lotería</w:t>
      </w:r>
    </w:p>
    <w:p w14:paraId="3C73CFDA" w14:textId="1A70DAB4" w:rsidR="00DF0165" w:rsidRPr="001C0E3D" w:rsidRDefault="00DF0165" w:rsidP="00831515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color w:val="434343"/>
          <w:sz w:val="22"/>
          <w:szCs w:val="22"/>
          <w:lang w:val="es-CO"/>
        </w:rPr>
      </w:pPr>
      <w:r w:rsidRPr="001C0E3D">
        <w:rPr>
          <w:rFonts w:cs="Times New Roman"/>
          <w:color w:val="434343"/>
          <w:sz w:val="22"/>
          <w:szCs w:val="22"/>
          <w:lang w:val="es-CO"/>
        </w:rPr>
        <w:t>Ganar un premio/dinero en la lotería</w:t>
      </w:r>
    </w:p>
    <w:p w14:paraId="21B89F36" w14:textId="2CE023E5" w:rsidR="00007AC9" w:rsidRPr="001C0E3D" w:rsidRDefault="00007AC9" w:rsidP="00007AC9">
      <w:pPr>
        <w:rPr>
          <w:sz w:val="22"/>
          <w:szCs w:val="22"/>
          <w:lang w:val="es-CO"/>
        </w:rPr>
      </w:pPr>
    </w:p>
    <w:p w14:paraId="2DCDCC9A" w14:textId="4B2F0391" w:rsidR="00832D94" w:rsidRPr="001C0E3D" w:rsidRDefault="00832D94" w:rsidP="00007AC9">
      <w:pPr>
        <w:rPr>
          <w:sz w:val="22"/>
          <w:szCs w:val="22"/>
          <w:lang w:val="es-CO"/>
        </w:rPr>
      </w:pPr>
    </w:p>
    <w:sectPr w:rsidR="00832D94" w:rsidRPr="001C0E3D" w:rsidSect="00A3521C">
      <w:pgSz w:w="11900" w:h="16840"/>
      <w:pgMar w:top="567" w:right="567" w:bottom="851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FC7"/>
    <w:multiLevelType w:val="hybridMultilevel"/>
    <w:tmpl w:val="48C2B7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001F"/>
    <w:multiLevelType w:val="hybridMultilevel"/>
    <w:tmpl w:val="735CE92C"/>
    <w:lvl w:ilvl="0" w:tplc="0CAA5182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9"/>
    <w:rsid w:val="00007AC9"/>
    <w:rsid w:val="0011643E"/>
    <w:rsid w:val="00193CE0"/>
    <w:rsid w:val="001C0E3D"/>
    <w:rsid w:val="002614F4"/>
    <w:rsid w:val="002D2709"/>
    <w:rsid w:val="00620689"/>
    <w:rsid w:val="006B2BE1"/>
    <w:rsid w:val="00710565"/>
    <w:rsid w:val="00817E5D"/>
    <w:rsid w:val="00831515"/>
    <w:rsid w:val="00832D94"/>
    <w:rsid w:val="00A3521C"/>
    <w:rsid w:val="00AB191E"/>
    <w:rsid w:val="00C473C7"/>
    <w:rsid w:val="00D675A4"/>
    <w:rsid w:val="00DF0165"/>
    <w:rsid w:val="00DF636B"/>
    <w:rsid w:val="00F824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7C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A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AC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3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5</cp:revision>
  <dcterms:created xsi:type="dcterms:W3CDTF">2019-02-04T09:54:00Z</dcterms:created>
  <dcterms:modified xsi:type="dcterms:W3CDTF">2019-02-04T13:26:00Z</dcterms:modified>
</cp:coreProperties>
</file>